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814329" w14:paraId="470591DC" w14:textId="77777777" w:rsidTr="00021287">
        <w:tc>
          <w:tcPr>
            <w:tcW w:w="9638"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8146"/>
            </w:tblGrid>
            <w:tr w:rsidR="00814329" w:rsidRPr="00F23E20" w14:paraId="24A25B38" w14:textId="77777777" w:rsidTr="004719EE">
              <w:tc>
                <w:tcPr>
                  <w:tcW w:w="1600"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vAlign w:val="center"/>
                </w:tcPr>
                <w:p w14:paraId="5296FDDE" w14:textId="77777777" w:rsidR="00814329" w:rsidRPr="00F23E20" w:rsidRDefault="00814329" w:rsidP="00814329">
                  <w:r w:rsidRPr="00F23E20">
                    <w:rPr>
                      <w:noProof/>
                    </w:rPr>
                    <w:drawing>
                      <wp:inline distT="0" distB="0" distL="0" distR="0" wp14:anchorId="039233DC" wp14:editId="1ADC4176">
                        <wp:extent cx="809625"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809625" cy="819150"/>
                                </a:xfrm>
                                <a:prstGeom prst="rect">
                                  <a:avLst/>
                                </a:prstGeom>
                              </pic:spPr>
                            </pic:pic>
                          </a:graphicData>
                        </a:graphic>
                      </wp:inline>
                    </w:drawing>
                  </w:r>
                </w:p>
              </w:tc>
              <w:tc>
                <w:tcPr>
                  <w:tcW w:w="814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59604DF" w14:textId="77777777" w:rsidR="00814329" w:rsidRPr="00F23E20" w:rsidRDefault="00814329" w:rsidP="00814329">
                  <w:r w:rsidRPr="00F23E20">
                    <w:rPr>
                      <w:b/>
                      <w:bCs/>
                      <w:sz w:val="26"/>
                      <w:szCs w:val="26"/>
                    </w:rPr>
                    <w:t>GAUTENG DIVISION OF THE HIGH COURT, JOHANNESBURG</w:t>
                  </w:r>
                </w:p>
                <w:p w14:paraId="67458812" w14:textId="77777777" w:rsidR="00814329" w:rsidRPr="00F23E20" w:rsidRDefault="00814329" w:rsidP="00814329">
                  <w:pPr>
                    <w:spacing w:before="40"/>
                  </w:pPr>
                  <w:r w:rsidRPr="00F23E20">
                    <w:rPr>
                      <w:sz w:val="18"/>
                      <w:szCs w:val="18"/>
                    </w:rPr>
                    <w:t>Chambers of Du Plessis J | Office No: 1107</w:t>
                  </w:r>
                </w:p>
                <w:p w14:paraId="7182090E" w14:textId="5376C11B" w:rsidR="00814329" w:rsidRPr="00F23E20" w:rsidRDefault="00814329" w:rsidP="00814329">
                  <w:pPr>
                    <w:spacing w:before="20"/>
                  </w:pPr>
                  <w:r w:rsidRPr="00F23E20">
                    <w:rPr>
                      <w:sz w:val="18"/>
                      <w:szCs w:val="18"/>
                    </w:rPr>
                    <w:t xml:space="preserve">Tel: (010) 494 8556 | Email: </w:t>
                  </w:r>
                  <w:r>
                    <w:rPr>
                      <w:sz w:val="18"/>
                      <w:szCs w:val="18"/>
                    </w:rPr>
                    <w:t>MMoolman</w:t>
                  </w:r>
                  <w:r w:rsidRPr="00F23E20">
                    <w:rPr>
                      <w:sz w:val="18"/>
                      <w:szCs w:val="18"/>
                    </w:rPr>
                    <w:t>@judiciary.org.za</w:t>
                  </w:r>
                </w:p>
              </w:tc>
            </w:tr>
          </w:tbl>
          <w:p w14:paraId="470591DB" w14:textId="01952AC8" w:rsidR="00814329" w:rsidRDefault="00814329" w:rsidP="00814329">
            <w:pPr>
              <w:spacing w:after="60" w:line="300" w:lineRule="auto"/>
              <w:jc w:val="center"/>
            </w:pPr>
          </w:p>
        </w:tc>
      </w:tr>
    </w:tbl>
    <w:p w14:paraId="470591DD" w14:textId="77777777" w:rsidR="00B02F7E" w:rsidRDefault="00B02F7E">
      <w:pPr>
        <w:spacing w:after="120" w:line="300" w:lineRule="auto"/>
      </w:pPr>
    </w:p>
    <w:p w14:paraId="470591DE" w14:textId="77777777" w:rsidR="00B02F7E" w:rsidRPr="009F1644" w:rsidRDefault="00E05471">
      <w:pPr>
        <w:spacing w:after="60" w:line="300" w:lineRule="auto"/>
        <w:jc w:val="center"/>
        <w:rPr>
          <w:u w:val="single"/>
        </w:rPr>
      </w:pPr>
      <w:r w:rsidRPr="009F1644">
        <w:rPr>
          <w:b/>
          <w:bCs/>
          <w:sz w:val="28"/>
          <w:szCs w:val="28"/>
          <w:u w:val="single"/>
        </w:rPr>
        <w:t>DIRECTIVE: URGENT COURT BEFORE DU PLESSIS J</w:t>
      </w:r>
    </w:p>
    <w:p w14:paraId="26071F4B" w14:textId="1471CE25" w:rsidR="00814329" w:rsidRDefault="00E05471" w:rsidP="00336D72">
      <w:pPr>
        <w:spacing w:after="40" w:line="300" w:lineRule="auto"/>
        <w:jc w:val="center"/>
      </w:pPr>
      <w:r>
        <w:rPr>
          <w:b/>
          <w:bCs/>
          <w:sz w:val="24"/>
          <w:szCs w:val="24"/>
        </w:rPr>
        <w:t>URGENT WEEK: 24 TO 31 JULY 2026</w:t>
      </w:r>
    </w:p>
    <w:p w14:paraId="20753233" w14:textId="77777777" w:rsidR="00336D72" w:rsidRPr="00336D72" w:rsidRDefault="00336D72" w:rsidP="00336D72">
      <w:pPr>
        <w:spacing w:after="40" w:line="300" w:lineRule="auto"/>
        <w:jc w:val="center"/>
      </w:pPr>
    </w:p>
    <w:p w14:paraId="082D2518" w14:textId="77777777" w:rsidR="00A35980" w:rsidRDefault="00E05471" w:rsidP="00814329">
      <w:pPr>
        <w:spacing w:after="220" w:line="300" w:lineRule="auto"/>
        <w:jc w:val="both"/>
      </w:pPr>
      <w:r>
        <w:t xml:space="preserve">All practitioners appearing in the urgent court during this week are required to </w:t>
      </w:r>
      <w:r w:rsidR="00814329">
        <w:t>familiarise</w:t>
      </w:r>
      <w:r>
        <w:t xml:space="preserve"> themselves with the terms of this directive, read together with the Practice Manual of this Division and any directives issued by the Judge President or the Deputy Judge President governing the urgent court. </w:t>
      </w:r>
    </w:p>
    <w:p w14:paraId="470591E2" w14:textId="77777777" w:rsidR="00B02F7E" w:rsidRDefault="00E05471">
      <w:pPr>
        <w:spacing w:before="280" w:after="140" w:line="300" w:lineRule="auto"/>
      </w:pPr>
      <w:r>
        <w:rPr>
          <w:b/>
          <w:bCs/>
          <w:sz w:val="24"/>
          <w:szCs w:val="24"/>
        </w:rPr>
        <w:t>1.  UNOPPOSED MATTERS</w:t>
      </w:r>
    </w:p>
    <w:p w14:paraId="470591E3" w14:textId="4CDB9F91" w:rsidR="00B02F7E" w:rsidRDefault="00E05471" w:rsidP="00573435">
      <w:pPr>
        <w:pStyle w:val="ListParagraph"/>
        <w:numPr>
          <w:ilvl w:val="0"/>
          <w:numId w:val="3"/>
        </w:numPr>
        <w:spacing w:after="160" w:line="300" w:lineRule="auto"/>
      </w:pPr>
      <w:r>
        <w:t>All unopposed matters enrolled on the urgent roll will be heard in open court on Tuesday, 28 July 2026, at 10h00, unless the roll or the court directs otherwise.</w:t>
      </w:r>
    </w:p>
    <w:p w14:paraId="470591E4" w14:textId="77777777" w:rsidR="00B02F7E" w:rsidRDefault="00E05471" w:rsidP="00573435">
      <w:pPr>
        <w:pStyle w:val="ListParagraph"/>
        <w:numPr>
          <w:ilvl w:val="0"/>
          <w:numId w:val="3"/>
        </w:numPr>
        <w:spacing w:after="160" w:line="300" w:lineRule="auto"/>
      </w:pPr>
      <w:r>
        <w:t xml:space="preserve">Practitioners must ensure that all papers are properly issued, served, and fully uploaded onto </w:t>
      </w:r>
      <w:proofErr w:type="spellStart"/>
      <w:r>
        <w:t>CaseLines</w:t>
      </w:r>
      <w:proofErr w:type="spellEnd"/>
      <w:r>
        <w:t xml:space="preserve"> before the hearing.</w:t>
      </w:r>
    </w:p>
    <w:p w14:paraId="470591E5" w14:textId="77777777" w:rsidR="00B02F7E" w:rsidRDefault="00E05471" w:rsidP="00573435">
      <w:pPr>
        <w:pStyle w:val="ListParagraph"/>
        <w:numPr>
          <w:ilvl w:val="0"/>
          <w:numId w:val="3"/>
        </w:numPr>
        <w:spacing w:after="160" w:line="300" w:lineRule="auto"/>
      </w:pPr>
      <w:r>
        <w:t xml:space="preserve">A draft order, in an editable (Word) format, must be filed electronically and emailed to </w:t>
      </w:r>
      <w:r w:rsidRPr="00573435">
        <w:rPr>
          <w:b/>
          <w:bCs/>
        </w:rPr>
        <w:t>mmoolman@judiciary.org.za</w:t>
      </w:r>
      <w:r>
        <w:t>, and a hard copy must be available at the hearing.</w:t>
      </w:r>
    </w:p>
    <w:p w14:paraId="470591E6" w14:textId="034132A5" w:rsidR="00B02F7E" w:rsidRDefault="00E05471" w:rsidP="00573435">
      <w:pPr>
        <w:pStyle w:val="ListParagraph"/>
        <w:numPr>
          <w:ilvl w:val="0"/>
          <w:numId w:val="3"/>
        </w:numPr>
        <w:spacing w:after="160" w:line="300" w:lineRule="auto"/>
      </w:pPr>
      <w:r>
        <w:t xml:space="preserve">Where a matter becomes opposed after enrolment, this must be communicated without delay to </w:t>
      </w:r>
      <w:r w:rsidRPr="00573435">
        <w:rPr>
          <w:b/>
          <w:bCs/>
        </w:rPr>
        <w:t>mmoolman@judiciary.org.za</w:t>
      </w:r>
      <w:r>
        <w:t>. The matter will then be allocated a hearing slot in accordance with paragraph 2 below.</w:t>
      </w:r>
    </w:p>
    <w:p w14:paraId="470591E7" w14:textId="77777777" w:rsidR="00B02F7E" w:rsidRDefault="00E05471">
      <w:pPr>
        <w:spacing w:before="280" w:after="140" w:line="300" w:lineRule="auto"/>
      </w:pPr>
      <w:r>
        <w:rPr>
          <w:b/>
          <w:bCs/>
          <w:sz w:val="24"/>
          <w:szCs w:val="24"/>
        </w:rPr>
        <w:t>2.  OPPOSED MATTERS</w:t>
      </w:r>
    </w:p>
    <w:p w14:paraId="470591E8" w14:textId="64F8071B" w:rsidR="00B02F7E" w:rsidRDefault="00E05471" w:rsidP="00E47DFD">
      <w:pPr>
        <w:pStyle w:val="ListParagraph"/>
        <w:numPr>
          <w:ilvl w:val="0"/>
          <w:numId w:val="5"/>
        </w:numPr>
        <w:spacing w:after="160" w:line="300" w:lineRule="auto"/>
      </w:pPr>
      <w:r>
        <w:t xml:space="preserve">Opposed urgent matters will be allocated specific hearing times during the week, as reflected in the roll at paragraph </w:t>
      </w:r>
      <w:r w:rsidR="009F1644">
        <w:t>4</w:t>
      </w:r>
      <w:r>
        <w:t>. All matters will be heard in open court, unless a party seeks, and is granted, leave for a matter to be dealt with otherwise.</w:t>
      </w:r>
    </w:p>
    <w:p w14:paraId="470591E9" w14:textId="3439130B" w:rsidR="00B02F7E" w:rsidRDefault="00E05471" w:rsidP="00E47DFD">
      <w:pPr>
        <w:pStyle w:val="ListParagraph"/>
        <w:numPr>
          <w:ilvl w:val="0"/>
          <w:numId w:val="5"/>
        </w:numPr>
        <w:spacing w:after="160" w:line="300" w:lineRule="auto"/>
      </w:pPr>
      <w:r>
        <w:t xml:space="preserve">Every opposed matter must be accompanied by a concise practice note and a draft order, both filed on </w:t>
      </w:r>
      <w:proofErr w:type="spellStart"/>
      <w:r>
        <w:t>CaseLines</w:t>
      </w:r>
      <w:proofErr w:type="spellEnd"/>
      <w:r>
        <w:t xml:space="preserve"> and emailed to </w:t>
      </w:r>
      <w:r w:rsidRPr="00E47DFD">
        <w:rPr>
          <w:b/>
          <w:bCs/>
        </w:rPr>
        <w:t>mmoolman@judiciary.org.za</w:t>
      </w:r>
      <w:r>
        <w:t>. The practice note must, at minimum, set out:</w:t>
      </w:r>
    </w:p>
    <w:p w14:paraId="470591EA" w14:textId="77777777" w:rsidR="00B02F7E" w:rsidRDefault="00E05471">
      <w:pPr>
        <w:pStyle w:val="ListParagraph"/>
        <w:numPr>
          <w:ilvl w:val="0"/>
          <w:numId w:val="2"/>
        </w:numPr>
        <w:spacing w:after="100" w:line="300" w:lineRule="auto"/>
      </w:pPr>
      <w:r>
        <w:t>the nature of the relief sought;</w:t>
      </w:r>
    </w:p>
    <w:p w14:paraId="470591EB" w14:textId="77777777" w:rsidR="00B02F7E" w:rsidRDefault="00E05471">
      <w:pPr>
        <w:pStyle w:val="ListParagraph"/>
        <w:numPr>
          <w:ilvl w:val="0"/>
          <w:numId w:val="2"/>
        </w:numPr>
        <w:spacing w:after="100" w:line="300" w:lineRule="auto"/>
      </w:pPr>
      <w:r>
        <w:t>a brief summary of the material facts and the principal legal issues;</w:t>
      </w:r>
    </w:p>
    <w:p w14:paraId="470591EC" w14:textId="77777777" w:rsidR="00B02F7E" w:rsidRDefault="00E05471">
      <w:pPr>
        <w:pStyle w:val="ListParagraph"/>
        <w:numPr>
          <w:ilvl w:val="0"/>
          <w:numId w:val="2"/>
        </w:numPr>
        <w:spacing w:after="100" w:line="300" w:lineRule="auto"/>
      </w:pPr>
      <w:r>
        <w:t>the basis upon which urgency is alleged, addressed with express reference to Uniform Rule 6(12)(b);</w:t>
      </w:r>
    </w:p>
    <w:p w14:paraId="470591ED" w14:textId="77777777" w:rsidR="00B02F7E" w:rsidRDefault="00E05471">
      <w:pPr>
        <w:pStyle w:val="ListParagraph"/>
        <w:numPr>
          <w:ilvl w:val="0"/>
          <w:numId w:val="2"/>
        </w:numPr>
        <w:spacing w:after="100" w:line="300" w:lineRule="auto"/>
      </w:pPr>
      <w:r>
        <w:t>an indication of which parts of the record the court should read;</w:t>
      </w:r>
    </w:p>
    <w:p w14:paraId="470591EE" w14:textId="77777777" w:rsidR="00B02F7E" w:rsidRDefault="00E05471">
      <w:pPr>
        <w:pStyle w:val="ListParagraph"/>
        <w:numPr>
          <w:ilvl w:val="0"/>
          <w:numId w:val="2"/>
        </w:numPr>
        <w:spacing w:after="100" w:line="300" w:lineRule="auto"/>
      </w:pPr>
      <w:r>
        <w:t>the estimated duration of argument; and</w:t>
      </w:r>
    </w:p>
    <w:p w14:paraId="470591EF" w14:textId="77777777" w:rsidR="00B02F7E" w:rsidRDefault="00E05471">
      <w:pPr>
        <w:pStyle w:val="ListParagraph"/>
        <w:numPr>
          <w:ilvl w:val="0"/>
          <w:numId w:val="2"/>
        </w:numPr>
        <w:spacing w:after="100" w:line="300" w:lineRule="auto"/>
      </w:pPr>
      <w:r>
        <w:t>the names and full contact details of all legal representatives.</w:t>
      </w:r>
    </w:p>
    <w:p w14:paraId="470591F0" w14:textId="77777777" w:rsidR="00B02F7E" w:rsidRDefault="00E05471">
      <w:pPr>
        <w:spacing w:before="280" w:after="140" w:line="300" w:lineRule="auto"/>
      </w:pPr>
      <w:r>
        <w:rPr>
          <w:b/>
          <w:bCs/>
          <w:sz w:val="24"/>
          <w:szCs w:val="24"/>
        </w:rPr>
        <w:t>3.  CASELINES / COURT ONLINE TECHNICAL PROBLEMS</w:t>
      </w:r>
    </w:p>
    <w:p w14:paraId="1D8BCCEC" w14:textId="796FDD5F" w:rsidR="00083ADC" w:rsidRPr="00336D72" w:rsidRDefault="00E05471" w:rsidP="00336D72">
      <w:pPr>
        <w:spacing w:after="160" w:line="300" w:lineRule="auto"/>
      </w:pPr>
      <w:r>
        <w:lastRenderedPageBreak/>
        <w:t xml:space="preserve">Practitioners requiring technical assistance with Court Online or the </w:t>
      </w:r>
      <w:proofErr w:type="spellStart"/>
      <w:r>
        <w:t>CaseLines</w:t>
      </w:r>
      <w:proofErr w:type="spellEnd"/>
      <w:r>
        <w:t xml:space="preserve"> evidence-management system should contact the Court Online Helpdesk on 010 493 2600. Training material and FAQs are available on the Judiciary’s official Court Online website.</w:t>
      </w:r>
    </w:p>
    <w:p w14:paraId="2EA7E5CF" w14:textId="34BB60A0" w:rsidR="00636CCD" w:rsidRDefault="00083ADC" w:rsidP="00636CCD">
      <w:pPr>
        <w:rPr>
          <w:b/>
          <w:bCs/>
          <w:i/>
          <w:iCs/>
        </w:rPr>
      </w:pPr>
      <w:r>
        <w:rPr>
          <w:b/>
          <w:bCs/>
          <w:sz w:val="24"/>
          <w:szCs w:val="24"/>
        </w:rPr>
        <w:t>4</w:t>
      </w:r>
      <w:r w:rsidR="00E05471">
        <w:rPr>
          <w:b/>
          <w:bCs/>
          <w:sz w:val="24"/>
          <w:szCs w:val="24"/>
        </w:rPr>
        <w:t>.  ROLL: URGENT MATTERS – WEEK OF 24 TO 31 JULY 2026</w:t>
      </w:r>
    </w:p>
    <w:p w14:paraId="07F76F2C" w14:textId="77777777" w:rsidR="00636CCD" w:rsidRPr="00636CCD" w:rsidRDefault="00636CCD" w:rsidP="00636CCD">
      <w:pPr>
        <w:rPr>
          <w:b/>
          <w:bCs/>
          <w:i/>
          <w:iCs/>
        </w:rPr>
      </w:pPr>
    </w:p>
    <w:p w14:paraId="47059207" w14:textId="51FDCD6B" w:rsidR="00B02F7E" w:rsidRDefault="00E05471">
      <w:pPr>
        <w:spacing w:after="160" w:line="300" w:lineRule="auto"/>
      </w:pPr>
      <w:r>
        <w:rPr>
          <w:i/>
          <w:iCs/>
        </w:rPr>
        <w:t>The matters enrolled for hearing before Du Plessis J for this urgent week are set out below</w:t>
      </w:r>
      <w:r w:rsidR="00636CCD">
        <w:rPr>
          <w:i/>
          <w:iCs/>
        </w:rPr>
        <w:t>, and contain information as on Thursday 23 July 2026 at 20:00</w:t>
      </w:r>
    </w:p>
    <w:tbl>
      <w:tblPr>
        <w:tblW w:w="5000" w:type="pct"/>
        <w:tblLook w:val="04A0" w:firstRow="1" w:lastRow="0" w:firstColumn="1" w:lastColumn="0" w:noHBand="0" w:noVBand="1"/>
      </w:tblPr>
      <w:tblGrid>
        <w:gridCol w:w="615"/>
        <w:gridCol w:w="1649"/>
        <w:gridCol w:w="3316"/>
        <w:gridCol w:w="1891"/>
        <w:gridCol w:w="2157"/>
      </w:tblGrid>
      <w:tr w:rsidR="00FE3089" w:rsidRPr="00FE3089" w14:paraId="6A029050" w14:textId="77777777" w:rsidTr="00AE0221">
        <w:trPr>
          <w:trHeight w:val="640"/>
        </w:trPr>
        <w:tc>
          <w:tcPr>
            <w:tcW w:w="319" w:type="pct"/>
            <w:tcBorders>
              <w:top w:val="single" w:sz="4" w:space="0" w:color="BFBFBF"/>
              <w:left w:val="single" w:sz="4" w:space="0" w:color="BFBFBF"/>
              <w:bottom w:val="single" w:sz="4" w:space="0" w:color="BFBFBF"/>
              <w:right w:val="single" w:sz="4" w:space="0" w:color="BFBFBF"/>
            </w:tcBorders>
            <w:shd w:val="clear" w:color="000000" w:fill="1F4E78"/>
            <w:noWrap/>
            <w:vAlign w:val="center"/>
            <w:hideMark/>
          </w:tcPr>
          <w:p w14:paraId="330AD82C" w14:textId="77777777" w:rsidR="00FE3089" w:rsidRPr="00FE3089" w:rsidRDefault="00FE3089">
            <w:pPr>
              <w:jc w:val="center"/>
              <w:rPr>
                <w:rFonts w:ascii="Calibri" w:hAnsi="Calibri" w:cs="Calibri"/>
                <w:b/>
                <w:bCs/>
                <w:color w:val="FFFFFF"/>
                <w:sz w:val="20"/>
                <w:szCs w:val="20"/>
              </w:rPr>
            </w:pPr>
            <w:r w:rsidRPr="00FE3089">
              <w:rPr>
                <w:rFonts w:ascii="Calibri" w:hAnsi="Calibri" w:cs="Calibri"/>
                <w:b/>
                <w:bCs/>
                <w:color w:val="FFFFFF"/>
                <w:sz w:val="20"/>
                <w:szCs w:val="20"/>
              </w:rPr>
              <w:t>No.</w:t>
            </w:r>
          </w:p>
        </w:tc>
        <w:tc>
          <w:tcPr>
            <w:tcW w:w="856" w:type="pct"/>
            <w:tcBorders>
              <w:top w:val="single" w:sz="4" w:space="0" w:color="BFBFBF"/>
              <w:left w:val="nil"/>
              <w:bottom w:val="single" w:sz="4" w:space="0" w:color="BFBFBF"/>
              <w:right w:val="single" w:sz="4" w:space="0" w:color="BFBFBF"/>
            </w:tcBorders>
            <w:shd w:val="clear" w:color="000000" w:fill="1F4E78"/>
            <w:noWrap/>
            <w:vAlign w:val="center"/>
            <w:hideMark/>
          </w:tcPr>
          <w:p w14:paraId="4213DDD6" w14:textId="77777777" w:rsidR="00FE3089" w:rsidRPr="00FE3089" w:rsidRDefault="00FE3089">
            <w:pPr>
              <w:jc w:val="center"/>
              <w:rPr>
                <w:rFonts w:ascii="Calibri" w:hAnsi="Calibri" w:cs="Calibri"/>
                <w:b/>
                <w:bCs/>
                <w:color w:val="FFFFFF"/>
                <w:sz w:val="20"/>
                <w:szCs w:val="20"/>
              </w:rPr>
            </w:pPr>
            <w:r w:rsidRPr="00FE3089">
              <w:rPr>
                <w:rFonts w:ascii="Calibri" w:hAnsi="Calibri" w:cs="Calibri"/>
                <w:b/>
                <w:bCs/>
                <w:color w:val="FFFFFF"/>
                <w:sz w:val="20"/>
                <w:szCs w:val="20"/>
              </w:rPr>
              <w:t>Case Number</w:t>
            </w:r>
          </w:p>
        </w:tc>
        <w:tc>
          <w:tcPr>
            <w:tcW w:w="1722" w:type="pct"/>
            <w:tcBorders>
              <w:top w:val="single" w:sz="4" w:space="0" w:color="BFBFBF"/>
              <w:left w:val="nil"/>
              <w:bottom w:val="single" w:sz="4" w:space="0" w:color="BFBFBF"/>
              <w:right w:val="single" w:sz="4" w:space="0" w:color="BFBFBF"/>
            </w:tcBorders>
            <w:shd w:val="clear" w:color="000000" w:fill="1F4E78"/>
            <w:noWrap/>
            <w:vAlign w:val="center"/>
            <w:hideMark/>
          </w:tcPr>
          <w:p w14:paraId="0F322A05" w14:textId="77777777" w:rsidR="00FE3089" w:rsidRPr="00FE3089" w:rsidRDefault="00FE3089">
            <w:pPr>
              <w:jc w:val="center"/>
              <w:rPr>
                <w:rFonts w:ascii="Calibri" w:hAnsi="Calibri" w:cs="Calibri"/>
                <w:b/>
                <w:bCs/>
                <w:color w:val="FFFFFF"/>
                <w:sz w:val="20"/>
                <w:szCs w:val="20"/>
              </w:rPr>
            </w:pPr>
            <w:r w:rsidRPr="00FE3089">
              <w:rPr>
                <w:rFonts w:ascii="Calibri" w:hAnsi="Calibri" w:cs="Calibri"/>
                <w:b/>
                <w:bCs/>
                <w:color w:val="FFFFFF"/>
                <w:sz w:val="20"/>
                <w:szCs w:val="20"/>
              </w:rPr>
              <w:t>Parties' Names</w:t>
            </w:r>
          </w:p>
        </w:tc>
        <w:tc>
          <w:tcPr>
            <w:tcW w:w="982" w:type="pct"/>
            <w:tcBorders>
              <w:top w:val="single" w:sz="4" w:space="0" w:color="BFBFBF"/>
              <w:left w:val="nil"/>
              <w:bottom w:val="single" w:sz="4" w:space="0" w:color="BFBFBF"/>
              <w:right w:val="nil"/>
            </w:tcBorders>
            <w:shd w:val="clear" w:color="000000" w:fill="1F4E78"/>
            <w:noWrap/>
            <w:vAlign w:val="center"/>
            <w:hideMark/>
          </w:tcPr>
          <w:p w14:paraId="3C748447" w14:textId="77777777" w:rsidR="00FE3089" w:rsidRPr="00FE3089" w:rsidRDefault="00FE3089">
            <w:pPr>
              <w:jc w:val="center"/>
              <w:rPr>
                <w:rFonts w:ascii="Calibri" w:hAnsi="Calibri" w:cs="Calibri"/>
                <w:b/>
                <w:bCs/>
                <w:color w:val="FFFFFF"/>
                <w:sz w:val="20"/>
                <w:szCs w:val="20"/>
              </w:rPr>
            </w:pPr>
            <w:r w:rsidRPr="00FE3089">
              <w:rPr>
                <w:rFonts w:ascii="Calibri" w:hAnsi="Calibri" w:cs="Calibri"/>
                <w:b/>
                <w:bCs/>
                <w:color w:val="FFFFFF"/>
                <w:sz w:val="20"/>
                <w:szCs w:val="20"/>
              </w:rPr>
              <w:t>Date of Hearing</w:t>
            </w:r>
          </w:p>
        </w:tc>
        <w:tc>
          <w:tcPr>
            <w:tcW w:w="1120" w:type="pct"/>
            <w:tcBorders>
              <w:top w:val="single" w:sz="4" w:space="0" w:color="BFBFBF"/>
              <w:left w:val="single" w:sz="4" w:space="0" w:color="BFBFBF"/>
              <w:bottom w:val="single" w:sz="4" w:space="0" w:color="BFBFBF"/>
              <w:right w:val="single" w:sz="4" w:space="0" w:color="BFBFBF"/>
            </w:tcBorders>
            <w:shd w:val="clear" w:color="000000" w:fill="1F4E78"/>
            <w:vAlign w:val="center"/>
            <w:hideMark/>
          </w:tcPr>
          <w:p w14:paraId="5D037DEB" w14:textId="77777777" w:rsidR="00FE3089" w:rsidRPr="00FE3089" w:rsidRDefault="00FE3089">
            <w:pPr>
              <w:jc w:val="center"/>
              <w:rPr>
                <w:rFonts w:ascii="Calibri" w:hAnsi="Calibri" w:cs="Calibri"/>
                <w:b/>
                <w:bCs/>
                <w:color w:val="FFFFFF"/>
                <w:sz w:val="20"/>
                <w:szCs w:val="20"/>
              </w:rPr>
            </w:pPr>
            <w:r w:rsidRPr="00FE3089">
              <w:rPr>
                <w:rFonts w:ascii="Calibri" w:hAnsi="Calibri" w:cs="Calibri"/>
                <w:b/>
                <w:bCs/>
                <w:color w:val="FFFFFF"/>
                <w:sz w:val="20"/>
                <w:szCs w:val="20"/>
              </w:rPr>
              <w:t>Comments</w:t>
            </w:r>
          </w:p>
        </w:tc>
      </w:tr>
      <w:tr w:rsidR="00FE3089" w:rsidRPr="00FE3089" w14:paraId="0FEB2227"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706B24CF"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2</w:t>
            </w:r>
          </w:p>
          <w:p w14:paraId="7F673522" w14:textId="597017FA" w:rsidR="0070484F" w:rsidRPr="00FE3089" w:rsidRDefault="0070484F">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356E6505"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2026-170161</w:t>
            </w:r>
          </w:p>
        </w:tc>
        <w:tc>
          <w:tcPr>
            <w:tcW w:w="1722" w:type="pct"/>
            <w:tcBorders>
              <w:top w:val="nil"/>
              <w:left w:val="nil"/>
              <w:bottom w:val="single" w:sz="4" w:space="0" w:color="BFBFBF"/>
              <w:right w:val="single" w:sz="4" w:space="0" w:color="BFBFBF"/>
            </w:tcBorders>
            <w:shd w:val="clear" w:color="000000" w:fill="EAF1F8"/>
            <w:vAlign w:val="center"/>
            <w:hideMark/>
          </w:tcPr>
          <w:p w14:paraId="67263A78"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AGEZE KABADE V. THE MINISTER OF HOME AFFAIRS</w:t>
            </w:r>
          </w:p>
        </w:tc>
        <w:tc>
          <w:tcPr>
            <w:tcW w:w="982" w:type="pct"/>
            <w:tcBorders>
              <w:top w:val="nil"/>
              <w:left w:val="nil"/>
              <w:bottom w:val="single" w:sz="4" w:space="0" w:color="BFBFBF"/>
              <w:right w:val="nil"/>
            </w:tcBorders>
            <w:shd w:val="clear" w:color="000000" w:fill="EAF1F8"/>
            <w:vAlign w:val="bottom"/>
            <w:hideMark/>
          </w:tcPr>
          <w:p w14:paraId="07F1DA67"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64544515" w14:textId="77777777" w:rsidR="00FE3089" w:rsidRPr="00FE3089" w:rsidRDefault="00FE3089">
            <w:pPr>
              <w:rPr>
                <w:rFonts w:ascii="Calibri" w:hAnsi="Calibri" w:cs="Calibri"/>
                <w:color w:val="00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58C0F91A" w14:textId="77777777" w:rsidTr="00AE0221">
        <w:trPr>
          <w:trHeight w:val="640"/>
        </w:trPr>
        <w:tc>
          <w:tcPr>
            <w:tcW w:w="319" w:type="pct"/>
            <w:tcBorders>
              <w:top w:val="nil"/>
              <w:left w:val="single" w:sz="4" w:space="0" w:color="BFBFBF"/>
              <w:bottom w:val="single" w:sz="4" w:space="0" w:color="BFBFBF"/>
              <w:right w:val="single" w:sz="4" w:space="0" w:color="BFBFBF"/>
            </w:tcBorders>
            <w:noWrap/>
            <w:vAlign w:val="center"/>
            <w:hideMark/>
          </w:tcPr>
          <w:p w14:paraId="1938ADD3"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5</w:t>
            </w:r>
          </w:p>
          <w:p w14:paraId="4A89FEBF" w14:textId="2E713EC3" w:rsidR="0070484F" w:rsidRPr="00FE3089" w:rsidRDefault="0070484F">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noWrap/>
            <w:vAlign w:val="center"/>
            <w:hideMark/>
          </w:tcPr>
          <w:p w14:paraId="2AFEB14A"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2026-169910</w:t>
            </w:r>
          </w:p>
        </w:tc>
        <w:tc>
          <w:tcPr>
            <w:tcW w:w="1722" w:type="pct"/>
            <w:tcBorders>
              <w:top w:val="nil"/>
              <w:left w:val="nil"/>
              <w:bottom w:val="single" w:sz="4" w:space="0" w:color="BFBFBF"/>
              <w:right w:val="single" w:sz="4" w:space="0" w:color="BFBFBF"/>
            </w:tcBorders>
            <w:vAlign w:val="center"/>
            <w:hideMark/>
          </w:tcPr>
          <w:p w14:paraId="07E43DCD"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ARP RISK AVERSE (PTY) LTD V. KHASHANI COLLIERY (PTY) LTD</w:t>
            </w:r>
          </w:p>
        </w:tc>
        <w:tc>
          <w:tcPr>
            <w:tcW w:w="982" w:type="pct"/>
            <w:tcBorders>
              <w:top w:val="nil"/>
              <w:left w:val="nil"/>
              <w:bottom w:val="single" w:sz="4" w:space="0" w:color="BFBFBF"/>
              <w:right w:val="nil"/>
            </w:tcBorders>
            <w:vAlign w:val="bottom"/>
            <w:hideMark/>
          </w:tcPr>
          <w:p w14:paraId="21E80205"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Wednesday, 29 July 2026</w:t>
            </w:r>
            <w:r w:rsidRPr="00FE3089">
              <w:rPr>
                <w:rFonts w:ascii="Calibri" w:hAnsi="Calibri" w:cs="Calibri"/>
                <w:color w:val="000000"/>
                <w:sz w:val="20"/>
                <w:szCs w:val="20"/>
              </w:rPr>
              <w:br/>
              <w:t>14:00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5CA2486A"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Wednesday, 29 July 2026</w:t>
            </w:r>
            <w:r w:rsidRPr="00FE3089">
              <w:rPr>
                <w:rFonts w:ascii="Calibri" w:hAnsi="Calibri" w:cs="Calibri"/>
                <w:color w:val="000000"/>
                <w:sz w:val="20"/>
                <w:szCs w:val="20"/>
              </w:rPr>
              <w:br/>
              <w:t>14:00 - 15:30</w:t>
            </w:r>
          </w:p>
        </w:tc>
      </w:tr>
      <w:tr w:rsidR="00FE3089" w:rsidRPr="00FE3089" w14:paraId="4DB35B47"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08362624"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8</w:t>
            </w:r>
          </w:p>
          <w:p w14:paraId="7E21382D" w14:textId="2061F05F" w:rsidR="0070484F" w:rsidRPr="00FE3089" w:rsidRDefault="0070484F">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5B751F77"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2026-173366</w:t>
            </w:r>
          </w:p>
        </w:tc>
        <w:tc>
          <w:tcPr>
            <w:tcW w:w="1722" w:type="pct"/>
            <w:tcBorders>
              <w:top w:val="nil"/>
              <w:left w:val="nil"/>
              <w:bottom w:val="single" w:sz="4" w:space="0" w:color="BFBFBF"/>
              <w:right w:val="single" w:sz="4" w:space="0" w:color="BFBFBF"/>
            </w:tcBorders>
            <w:shd w:val="clear" w:color="000000" w:fill="EAF1F8"/>
            <w:vAlign w:val="center"/>
            <w:hideMark/>
          </w:tcPr>
          <w:p w14:paraId="37450181"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BINHAM EINDISAYS V. MINISTER OF HOME AFFAIRS</w:t>
            </w:r>
          </w:p>
        </w:tc>
        <w:tc>
          <w:tcPr>
            <w:tcW w:w="982" w:type="pct"/>
            <w:tcBorders>
              <w:top w:val="nil"/>
              <w:left w:val="nil"/>
              <w:bottom w:val="single" w:sz="4" w:space="0" w:color="BFBFBF"/>
              <w:right w:val="nil"/>
            </w:tcBorders>
            <w:shd w:val="clear" w:color="000000" w:fill="EAF1F8"/>
            <w:vAlign w:val="bottom"/>
            <w:hideMark/>
          </w:tcPr>
          <w:p w14:paraId="53C51C7B"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4BE28FCC"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Unopposed</w:t>
            </w:r>
          </w:p>
        </w:tc>
      </w:tr>
      <w:tr w:rsidR="00FE3089" w:rsidRPr="00FE3089" w14:paraId="1C2D174C" w14:textId="77777777" w:rsidTr="00AE0221">
        <w:trPr>
          <w:trHeight w:val="640"/>
        </w:trPr>
        <w:tc>
          <w:tcPr>
            <w:tcW w:w="319" w:type="pct"/>
            <w:tcBorders>
              <w:top w:val="nil"/>
              <w:left w:val="single" w:sz="4" w:space="0" w:color="BFBFBF"/>
              <w:bottom w:val="single" w:sz="4" w:space="0" w:color="BFBFBF"/>
              <w:right w:val="single" w:sz="4" w:space="0" w:color="BFBFBF"/>
            </w:tcBorders>
            <w:noWrap/>
            <w:vAlign w:val="center"/>
            <w:hideMark/>
          </w:tcPr>
          <w:p w14:paraId="41E3980B"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11</w:t>
            </w:r>
          </w:p>
          <w:p w14:paraId="74C18849" w14:textId="534CB6EF" w:rsidR="0070484F" w:rsidRPr="00FE3089" w:rsidRDefault="0070484F">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noWrap/>
            <w:vAlign w:val="center"/>
            <w:hideMark/>
          </w:tcPr>
          <w:p w14:paraId="3F963C06"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2026-168537</w:t>
            </w:r>
          </w:p>
        </w:tc>
        <w:tc>
          <w:tcPr>
            <w:tcW w:w="1722" w:type="pct"/>
            <w:tcBorders>
              <w:top w:val="nil"/>
              <w:left w:val="nil"/>
              <w:bottom w:val="single" w:sz="4" w:space="0" w:color="BFBFBF"/>
              <w:right w:val="single" w:sz="4" w:space="0" w:color="BFBFBF"/>
            </w:tcBorders>
            <w:vAlign w:val="center"/>
            <w:hideMark/>
          </w:tcPr>
          <w:p w14:paraId="0189946A"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BULKLINK SOLUTIONS (PTY) LTD V. SEBEGO MINERAL RECOVERY (PTY) LTD</w:t>
            </w:r>
          </w:p>
        </w:tc>
        <w:tc>
          <w:tcPr>
            <w:tcW w:w="982" w:type="pct"/>
            <w:tcBorders>
              <w:top w:val="nil"/>
              <w:left w:val="nil"/>
              <w:bottom w:val="single" w:sz="4" w:space="0" w:color="BFBFBF"/>
              <w:right w:val="nil"/>
            </w:tcBorders>
            <w:vAlign w:val="bottom"/>
            <w:hideMark/>
          </w:tcPr>
          <w:p w14:paraId="66BC818E"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68C301E8"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Unopposed (Settlement)</w:t>
            </w:r>
          </w:p>
        </w:tc>
      </w:tr>
      <w:tr w:rsidR="00FE3089" w:rsidRPr="00FE3089" w14:paraId="50A55309"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0C26EB36"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14</w:t>
            </w:r>
          </w:p>
          <w:p w14:paraId="08E37550" w14:textId="4C1A4059" w:rsidR="0070484F" w:rsidRPr="00FE3089" w:rsidRDefault="0070484F">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1918221B"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2026-174225</w:t>
            </w:r>
          </w:p>
        </w:tc>
        <w:tc>
          <w:tcPr>
            <w:tcW w:w="1722" w:type="pct"/>
            <w:tcBorders>
              <w:top w:val="nil"/>
              <w:left w:val="nil"/>
              <w:bottom w:val="single" w:sz="4" w:space="0" w:color="BFBFBF"/>
              <w:right w:val="single" w:sz="4" w:space="0" w:color="BFBFBF"/>
            </w:tcBorders>
            <w:shd w:val="clear" w:color="000000" w:fill="EAF1F8"/>
            <w:vAlign w:val="center"/>
            <w:hideMark/>
          </w:tcPr>
          <w:p w14:paraId="4DE12772"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CREDIT GUARANTEE INSURANCE CORPORATION OF AFRICA LIMITED</w:t>
            </w:r>
          </w:p>
        </w:tc>
        <w:tc>
          <w:tcPr>
            <w:tcW w:w="982" w:type="pct"/>
            <w:tcBorders>
              <w:top w:val="nil"/>
              <w:left w:val="nil"/>
              <w:bottom w:val="single" w:sz="4" w:space="0" w:color="BFBFBF"/>
              <w:right w:val="nil"/>
            </w:tcBorders>
            <w:shd w:val="clear" w:color="000000" w:fill="EAF1F8"/>
            <w:vAlign w:val="bottom"/>
            <w:hideMark/>
          </w:tcPr>
          <w:p w14:paraId="5FAF7986"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69D5F859"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 xml:space="preserve">No practice note (Ex </w:t>
            </w:r>
            <w:proofErr w:type="spellStart"/>
            <w:r w:rsidRPr="00FE3089">
              <w:rPr>
                <w:rFonts w:ascii="Calibri" w:hAnsi="Calibri" w:cs="Calibri"/>
                <w:color w:val="000000"/>
                <w:sz w:val="20"/>
                <w:szCs w:val="20"/>
              </w:rPr>
              <w:t>Parte</w:t>
            </w:r>
            <w:proofErr w:type="spellEnd"/>
            <w:r w:rsidRPr="00FE3089">
              <w:rPr>
                <w:rFonts w:ascii="Calibri" w:hAnsi="Calibri" w:cs="Calibri"/>
                <w:color w:val="000000"/>
                <w:sz w:val="20"/>
                <w:szCs w:val="20"/>
              </w:rPr>
              <w:t>)</w:t>
            </w:r>
          </w:p>
        </w:tc>
      </w:tr>
      <w:tr w:rsidR="00FE3089" w:rsidRPr="00FE3089" w14:paraId="1EA87EBD" w14:textId="77777777" w:rsidTr="00AE0221">
        <w:trPr>
          <w:trHeight w:val="640"/>
        </w:trPr>
        <w:tc>
          <w:tcPr>
            <w:tcW w:w="319" w:type="pct"/>
            <w:tcBorders>
              <w:top w:val="nil"/>
              <w:left w:val="single" w:sz="4" w:space="0" w:color="BFBFBF"/>
              <w:bottom w:val="single" w:sz="4" w:space="0" w:color="BFBFBF"/>
              <w:right w:val="single" w:sz="4" w:space="0" w:color="BFBFBF"/>
            </w:tcBorders>
            <w:noWrap/>
            <w:vAlign w:val="center"/>
            <w:hideMark/>
          </w:tcPr>
          <w:p w14:paraId="02094237"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17</w:t>
            </w:r>
          </w:p>
          <w:p w14:paraId="716F5EE7" w14:textId="383DDD5F" w:rsidR="006C0CB6" w:rsidRPr="00FE3089" w:rsidRDefault="006C0CB6">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noWrap/>
            <w:vAlign w:val="center"/>
            <w:hideMark/>
          </w:tcPr>
          <w:p w14:paraId="5898AD91"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2026-168349</w:t>
            </w:r>
          </w:p>
        </w:tc>
        <w:tc>
          <w:tcPr>
            <w:tcW w:w="1722" w:type="pct"/>
            <w:tcBorders>
              <w:top w:val="nil"/>
              <w:left w:val="nil"/>
              <w:bottom w:val="single" w:sz="4" w:space="0" w:color="BFBFBF"/>
              <w:right w:val="single" w:sz="4" w:space="0" w:color="BFBFBF"/>
            </w:tcBorders>
            <w:vAlign w:val="center"/>
            <w:hideMark/>
          </w:tcPr>
          <w:p w14:paraId="744771DC"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DANIEL PHAKATHI V. THE MINISTER OF HOME AFFAIRS AND OTHER</w:t>
            </w:r>
          </w:p>
        </w:tc>
        <w:tc>
          <w:tcPr>
            <w:tcW w:w="982" w:type="pct"/>
            <w:tcBorders>
              <w:top w:val="nil"/>
              <w:left w:val="nil"/>
              <w:bottom w:val="single" w:sz="4" w:space="0" w:color="BFBFBF"/>
              <w:right w:val="nil"/>
            </w:tcBorders>
            <w:vAlign w:val="bottom"/>
            <w:hideMark/>
          </w:tcPr>
          <w:p w14:paraId="2333FB2D"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1C37AB04"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046E05A2"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2EDD204C"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20</w:t>
            </w:r>
          </w:p>
          <w:p w14:paraId="4112DAAC" w14:textId="742CCF0F" w:rsidR="006C0CB6" w:rsidRPr="00FE3089" w:rsidRDefault="006C0CB6">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0B5BD34D"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2026-099853</w:t>
            </w:r>
          </w:p>
        </w:tc>
        <w:tc>
          <w:tcPr>
            <w:tcW w:w="1722" w:type="pct"/>
            <w:tcBorders>
              <w:top w:val="nil"/>
              <w:left w:val="nil"/>
              <w:bottom w:val="single" w:sz="4" w:space="0" w:color="BFBFBF"/>
              <w:right w:val="single" w:sz="4" w:space="0" w:color="BFBFBF"/>
            </w:tcBorders>
            <w:shd w:val="clear" w:color="000000" w:fill="EAF1F8"/>
            <w:vAlign w:val="center"/>
            <w:hideMark/>
          </w:tcPr>
          <w:p w14:paraId="5CC5EA24"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DUNISANI WINNIE MKHABELE V. ROAD ACCIDENT FUND</w:t>
            </w:r>
          </w:p>
        </w:tc>
        <w:tc>
          <w:tcPr>
            <w:tcW w:w="982" w:type="pct"/>
            <w:tcBorders>
              <w:top w:val="nil"/>
              <w:left w:val="nil"/>
              <w:bottom w:val="single" w:sz="4" w:space="0" w:color="BFBFBF"/>
              <w:right w:val="nil"/>
            </w:tcBorders>
            <w:shd w:val="clear" w:color="000000" w:fill="EAF1F8"/>
            <w:vAlign w:val="bottom"/>
            <w:hideMark/>
          </w:tcPr>
          <w:p w14:paraId="349241DC"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69F55941"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Notice of withdrawal</w:t>
            </w:r>
          </w:p>
        </w:tc>
      </w:tr>
      <w:tr w:rsidR="00FE3089" w:rsidRPr="00FE3089" w14:paraId="63C5BEF9" w14:textId="77777777" w:rsidTr="00AE0221">
        <w:trPr>
          <w:trHeight w:val="640"/>
        </w:trPr>
        <w:tc>
          <w:tcPr>
            <w:tcW w:w="319" w:type="pct"/>
            <w:tcBorders>
              <w:top w:val="nil"/>
              <w:left w:val="single" w:sz="4" w:space="0" w:color="BFBFBF"/>
              <w:bottom w:val="single" w:sz="4" w:space="0" w:color="BFBFBF"/>
              <w:right w:val="single" w:sz="4" w:space="0" w:color="BFBFBF"/>
            </w:tcBorders>
            <w:noWrap/>
            <w:vAlign w:val="center"/>
            <w:hideMark/>
          </w:tcPr>
          <w:p w14:paraId="0BDAC45D"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23</w:t>
            </w:r>
          </w:p>
        </w:tc>
        <w:tc>
          <w:tcPr>
            <w:tcW w:w="856" w:type="pct"/>
            <w:tcBorders>
              <w:top w:val="nil"/>
              <w:left w:val="nil"/>
              <w:bottom w:val="single" w:sz="4" w:space="0" w:color="BFBFBF"/>
              <w:right w:val="single" w:sz="4" w:space="0" w:color="BFBFBF"/>
            </w:tcBorders>
            <w:noWrap/>
            <w:vAlign w:val="center"/>
            <w:hideMark/>
          </w:tcPr>
          <w:p w14:paraId="62ABD337"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2026-174613</w:t>
            </w:r>
          </w:p>
        </w:tc>
        <w:tc>
          <w:tcPr>
            <w:tcW w:w="1722" w:type="pct"/>
            <w:tcBorders>
              <w:top w:val="nil"/>
              <w:left w:val="nil"/>
              <w:bottom w:val="single" w:sz="4" w:space="0" w:color="BFBFBF"/>
              <w:right w:val="single" w:sz="4" w:space="0" w:color="BFBFBF"/>
            </w:tcBorders>
            <w:vAlign w:val="center"/>
            <w:hideMark/>
          </w:tcPr>
          <w:p w14:paraId="74D2BDFE"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ERGUDO BEKELE AHSENATE V. THE DEPARTMENT OF HOME AFFAIRS</w:t>
            </w:r>
          </w:p>
        </w:tc>
        <w:tc>
          <w:tcPr>
            <w:tcW w:w="982" w:type="pct"/>
            <w:tcBorders>
              <w:top w:val="nil"/>
              <w:left w:val="nil"/>
              <w:bottom w:val="single" w:sz="4" w:space="0" w:color="BFBFBF"/>
              <w:right w:val="nil"/>
            </w:tcBorders>
            <w:vAlign w:val="bottom"/>
            <w:hideMark/>
          </w:tcPr>
          <w:p w14:paraId="61D4DD08"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3E307358" w14:textId="1DF9369C" w:rsidR="00FE3089" w:rsidRPr="00FE3089" w:rsidRDefault="00705FD5">
            <w:pPr>
              <w:rPr>
                <w:rFonts w:ascii="Calibri" w:hAnsi="Calibri" w:cs="Calibri"/>
                <w:color w:val="000000"/>
                <w:sz w:val="20"/>
                <w:szCs w:val="20"/>
              </w:rPr>
            </w:pPr>
            <w:r>
              <w:rPr>
                <w:rFonts w:ascii="Calibri" w:hAnsi="Calibri" w:cs="Calibri"/>
                <w:color w:val="000000"/>
                <w:sz w:val="20"/>
                <w:szCs w:val="20"/>
              </w:rPr>
              <w:t>No Practice Note</w:t>
            </w:r>
          </w:p>
        </w:tc>
      </w:tr>
      <w:tr w:rsidR="00FE3089" w:rsidRPr="00FE3089" w14:paraId="5A876BB0"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6F89E84F"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26</w:t>
            </w:r>
          </w:p>
          <w:p w14:paraId="343C45A7" w14:textId="18A1FFBC" w:rsidR="006C0CB6" w:rsidRPr="00FE3089" w:rsidRDefault="006C0CB6">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0748E06D"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2026-173415</w:t>
            </w:r>
          </w:p>
        </w:tc>
        <w:tc>
          <w:tcPr>
            <w:tcW w:w="1722" w:type="pct"/>
            <w:tcBorders>
              <w:top w:val="nil"/>
              <w:left w:val="nil"/>
              <w:bottom w:val="single" w:sz="4" w:space="0" w:color="BFBFBF"/>
              <w:right w:val="single" w:sz="4" w:space="0" w:color="BFBFBF"/>
            </w:tcBorders>
            <w:shd w:val="clear" w:color="000000" w:fill="EAF1F8"/>
            <w:vAlign w:val="center"/>
            <w:hideMark/>
          </w:tcPr>
          <w:p w14:paraId="11D67763"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FON ZENO CHE V. THE IMMIGRATION OFFICER-IN-CHARGE (LINDELA REPATRIATION CENTRE)</w:t>
            </w:r>
          </w:p>
        </w:tc>
        <w:tc>
          <w:tcPr>
            <w:tcW w:w="982" w:type="pct"/>
            <w:tcBorders>
              <w:top w:val="nil"/>
              <w:left w:val="nil"/>
              <w:bottom w:val="single" w:sz="4" w:space="0" w:color="BFBFBF"/>
              <w:right w:val="nil"/>
            </w:tcBorders>
            <w:shd w:val="clear" w:color="000000" w:fill="EAF1F8"/>
            <w:vAlign w:val="bottom"/>
            <w:hideMark/>
          </w:tcPr>
          <w:p w14:paraId="2D7614E9"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260CF7B4"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Unopposed</w:t>
            </w:r>
          </w:p>
        </w:tc>
      </w:tr>
      <w:tr w:rsidR="00FE3089" w:rsidRPr="00FE3089" w14:paraId="0138A7B3" w14:textId="77777777" w:rsidTr="00AE0221">
        <w:trPr>
          <w:trHeight w:val="640"/>
        </w:trPr>
        <w:tc>
          <w:tcPr>
            <w:tcW w:w="319" w:type="pct"/>
            <w:tcBorders>
              <w:top w:val="nil"/>
              <w:left w:val="single" w:sz="4" w:space="0" w:color="BFBFBF"/>
              <w:bottom w:val="single" w:sz="4" w:space="0" w:color="BFBFBF"/>
              <w:right w:val="single" w:sz="4" w:space="0" w:color="BFBFBF"/>
            </w:tcBorders>
            <w:noWrap/>
            <w:vAlign w:val="center"/>
            <w:hideMark/>
          </w:tcPr>
          <w:p w14:paraId="3CDF289A"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29</w:t>
            </w:r>
          </w:p>
          <w:p w14:paraId="183B1ABA" w14:textId="582563A7" w:rsidR="006C0CB6" w:rsidRPr="00FE3089" w:rsidRDefault="006C0CB6">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noWrap/>
            <w:vAlign w:val="center"/>
            <w:hideMark/>
          </w:tcPr>
          <w:p w14:paraId="2E7D189B"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2026-132726</w:t>
            </w:r>
          </w:p>
        </w:tc>
        <w:tc>
          <w:tcPr>
            <w:tcW w:w="1722" w:type="pct"/>
            <w:tcBorders>
              <w:top w:val="nil"/>
              <w:left w:val="nil"/>
              <w:bottom w:val="single" w:sz="4" w:space="0" w:color="BFBFBF"/>
              <w:right w:val="single" w:sz="4" w:space="0" w:color="BFBFBF"/>
            </w:tcBorders>
            <w:vAlign w:val="center"/>
            <w:hideMark/>
          </w:tcPr>
          <w:p w14:paraId="1025AD48"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GOSCOR FINANCE (PTY) LTD V. IS BUILDERS SUPPLIERS (PTY) LTD</w:t>
            </w:r>
          </w:p>
        </w:tc>
        <w:tc>
          <w:tcPr>
            <w:tcW w:w="982" w:type="pct"/>
            <w:tcBorders>
              <w:top w:val="nil"/>
              <w:left w:val="nil"/>
              <w:bottom w:val="single" w:sz="4" w:space="0" w:color="BFBFBF"/>
              <w:right w:val="nil"/>
            </w:tcBorders>
            <w:vAlign w:val="bottom"/>
            <w:hideMark/>
          </w:tcPr>
          <w:p w14:paraId="004179C3"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6AE8D4CD"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Unopposed</w:t>
            </w:r>
          </w:p>
        </w:tc>
      </w:tr>
      <w:tr w:rsidR="00FE3089" w:rsidRPr="00FE3089" w14:paraId="3968D475"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19199CCC"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32</w:t>
            </w:r>
          </w:p>
          <w:p w14:paraId="75863D0A" w14:textId="06A0F1E3" w:rsidR="00CE4E9F" w:rsidRPr="00FE3089" w:rsidRDefault="00CE4E9F">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39E09F9F"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2026-170180</w:t>
            </w:r>
          </w:p>
        </w:tc>
        <w:tc>
          <w:tcPr>
            <w:tcW w:w="1722" w:type="pct"/>
            <w:tcBorders>
              <w:top w:val="nil"/>
              <w:left w:val="nil"/>
              <w:bottom w:val="single" w:sz="4" w:space="0" w:color="BFBFBF"/>
              <w:right w:val="single" w:sz="4" w:space="0" w:color="BFBFBF"/>
            </w:tcBorders>
            <w:shd w:val="clear" w:color="000000" w:fill="EAF1F8"/>
            <w:vAlign w:val="center"/>
            <w:hideMark/>
          </w:tcPr>
          <w:p w14:paraId="795866DB"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JOHANNES ERJABO V. THE MINISTER OF HOME AFFAIRS</w:t>
            </w:r>
          </w:p>
        </w:tc>
        <w:tc>
          <w:tcPr>
            <w:tcW w:w="982" w:type="pct"/>
            <w:tcBorders>
              <w:top w:val="nil"/>
              <w:left w:val="nil"/>
              <w:bottom w:val="single" w:sz="4" w:space="0" w:color="BFBFBF"/>
              <w:right w:val="nil"/>
            </w:tcBorders>
            <w:shd w:val="clear" w:color="000000" w:fill="EAF1F8"/>
            <w:vAlign w:val="bottom"/>
            <w:hideMark/>
          </w:tcPr>
          <w:p w14:paraId="6C8AE200"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270D0440"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7F6B8640" w14:textId="77777777" w:rsidTr="00AE0221">
        <w:trPr>
          <w:trHeight w:val="640"/>
        </w:trPr>
        <w:tc>
          <w:tcPr>
            <w:tcW w:w="319" w:type="pct"/>
            <w:tcBorders>
              <w:top w:val="nil"/>
              <w:left w:val="single" w:sz="4" w:space="0" w:color="BFBFBF"/>
              <w:bottom w:val="single" w:sz="4" w:space="0" w:color="BFBFBF"/>
              <w:right w:val="single" w:sz="4" w:space="0" w:color="BFBFBF"/>
            </w:tcBorders>
            <w:noWrap/>
            <w:vAlign w:val="center"/>
            <w:hideMark/>
          </w:tcPr>
          <w:p w14:paraId="6EB7B3AD"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35</w:t>
            </w:r>
          </w:p>
          <w:p w14:paraId="05AB51BE" w14:textId="1874E42B" w:rsidR="00DC712C" w:rsidRPr="00FE3089" w:rsidRDefault="00DC712C">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noWrap/>
            <w:vAlign w:val="center"/>
            <w:hideMark/>
          </w:tcPr>
          <w:p w14:paraId="186B9335"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2026-158967</w:t>
            </w:r>
          </w:p>
        </w:tc>
        <w:tc>
          <w:tcPr>
            <w:tcW w:w="1722" w:type="pct"/>
            <w:tcBorders>
              <w:top w:val="nil"/>
              <w:left w:val="nil"/>
              <w:bottom w:val="single" w:sz="4" w:space="0" w:color="BFBFBF"/>
              <w:right w:val="single" w:sz="4" w:space="0" w:color="BFBFBF"/>
            </w:tcBorders>
            <w:vAlign w:val="center"/>
            <w:hideMark/>
          </w:tcPr>
          <w:p w14:paraId="71FB2008"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KEYLOOP V. MARTHINUS PRINSLOO</w:t>
            </w:r>
          </w:p>
        </w:tc>
        <w:tc>
          <w:tcPr>
            <w:tcW w:w="982" w:type="pct"/>
            <w:tcBorders>
              <w:top w:val="nil"/>
              <w:left w:val="nil"/>
              <w:bottom w:val="single" w:sz="4" w:space="0" w:color="BFBFBF"/>
              <w:right w:val="nil"/>
            </w:tcBorders>
            <w:vAlign w:val="bottom"/>
            <w:hideMark/>
          </w:tcPr>
          <w:p w14:paraId="4FA8EA24"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Wednesday, 29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1E2B5513"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Wednesday, 29 July 2026</w:t>
            </w:r>
            <w:r w:rsidRPr="00FE3089">
              <w:rPr>
                <w:rFonts w:ascii="Calibri" w:hAnsi="Calibri" w:cs="Calibri"/>
                <w:color w:val="000000"/>
                <w:sz w:val="20"/>
                <w:szCs w:val="20"/>
              </w:rPr>
              <w:br/>
              <w:t>10:00 - 13:00</w:t>
            </w:r>
          </w:p>
        </w:tc>
      </w:tr>
      <w:tr w:rsidR="00FE3089" w:rsidRPr="00FE3089" w14:paraId="065557D6"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663BF321"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38</w:t>
            </w:r>
          </w:p>
          <w:p w14:paraId="5B0A48F9" w14:textId="24EB26C3" w:rsidR="00DC712C" w:rsidRPr="00FE3089" w:rsidRDefault="00DC712C">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349E5EBC"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2026-174639</w:t>
            </w:r>
          </w:p>
        </w:tc>
        <w:tc>
          <w:tcPr>
            <w:tcW w:w="1722" w:type="pct"/>
            <w:tcBorders>
              <w:top w:val="nil"/>
              <w:left w:val="nil"/>
              <w:bottom w:val="single" w:sz="4" w:space="0" w:color="BFBFBF"/>
              <w:right w:val="single" w:sz="4" w:space="0" w:color="BFBFBF"/>
            </w:tcBorders>
            <w:shd w:val="clear" w:color="000000" w:fill="EAF1F8"/>
            <w:vAlign w:val="center"/>
            <w:hideMark/>
          </w:tcPr>
          <w:p w14:paraId="3AA529D0"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LOBA DENESE FETABO V. THE MINISTER OF HOME AFFAIRS</w:t>
            </w:r>
          </w:p>
        </w:tc>
        <w:tc>
          <w:tcPr>
            <w:tcW w:w="982" w:type="pct"/>
            <w:tcBorders>
              <w:top w:val="nil"/>
              <w:left w:val="nil"/>
              <w:bottom w:val="single" w:sz="4" w:space="0" w:color="BFBFBF"/>
              <w:right w:val="nil"/>
            </w:tcBorders>
            <w:shd w:val="clear" w:color="000000" w:fill="EAF1F8"/>
            <w:vAlign w:val="bottom"/>
            <w:hideMark/>
          </w:tcPr>
          <w:p w14:paraId="15B038BF"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247DBA00" w14:textId="72E2C7BF" w:rsidR="00FE3089" w:rsidRPr="00FE3089" w:rsidRDefault="000A184B">
            <w:pPr>
              <w:rPr>
                <w:rFonts w:ascii="Calibri" w:hAnsi="Calibri" w:cs="Calibri"/>
                <w:color w:val="000000"/>
                <w:sz w:val="20"/>
                <w:szCs w:val="20"/>
              </w:rPr>
            </w:pPr>
            <w:r>
              <w:rPr>
                <w:rFonts w:ascii="Calibri" w:hAnsi="Calibri" w:cs="Calibri"/>
                <w:color w:val="000000"/>
                <w:sz w:val="20"/>
                <w:szCs w:val="20"/>
              </w:rPr>
              <w:t xml:space="preserve">Removed by Notice </w:t>
            </w:r>
          </w:p>
        </w:tc>
      </w:tr>
      <w:tr w:rsidR="00FE3089" w:rsidRPr="00FE3089" w14:paraId="4C600493" w14:textId="77777777" w:rsidTr="00AE0221">
        <w:trPr>
          <w:trHeight w:val="640"/>
        </w:trPr>
        <w:tc>
          <w:tcPr>
            <w:tcW w:w="319" w:type="pct"/>
            <w:tcBorders>
              <w:top w:val="nil"/>
              <w:left w:val="single" w:sz="4" w:space="0" w:color="BFBFBF"/>
              <w:bottom w:val="single" w:sz="4" w:space="0" w:color="BFBFBF"/>
              <w:right w:val="single" w:sz="4" w:space="0" w:color="BFBFBF"/>
            </w:tcBorders>
            <w:noWrap/>
            <w:vAlign w:val="center"/>
            <w:hideMark/>
          </w:tcPr>
          <w:p w14:paraId="65D0C27C"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41</w:t>
            </w:r>
          </w:p>
          <w:p w14:paraId="13176B4F" w14:textId="14C20822" w:rsidR="003B5CA5" w:rsidRPr="00FE3089" w:rsidRDefault="003B5CA5">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noWrap/>
            <w:vAlign w:val="center"/>
            <w:hideMark/>
          </w:tcPr>
          <w:p w14:paraId="047C82E1"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2026-174667</w:t>
            </w:r>
          </w:p>
        </w:tc>
        <w:tc>
          <w:tcPr>
            <w:tcW w:w="1722" w:type="pct"/>
            <w:tcBorders>
              <w:top w:val="nil"/>
              <w:left w:val="nil"/>
              <w:bottom w:val="single" w:sz="4" w:space="0" w:color="BFBFBF"/>
              <w:right w:val="single" w:sz="4" w:space="0" w:color="BFBFBF"/>
            </w:tcBorders>
            <w:vAlign w:val="center"/>
            <w:hideMark/>
          </w:tcPr>
          <w:p w14:paraId="37B5A8A9"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MAJARA CORNELL MONYAKE V. THE MINISTER OF HOME AFFAIRS AND OTHERS</w:t>
            </w:r>
          </w:p>
        </w:tc>
        <w:tc>
          <w:tcPr>
            <w:tcW w:w="982" w:type="pct"/>
            <w:tcBorders>
              <w:top w:val="nil"/>
              <w:left w:val="nil"/>
              <w:bottom w:val="single" w:sz="4" w:space="0" w:color="BFBFBF"/>
              <w:right w:val="nil"/>
            </w:tcBorders>
            <w:vAlign w:val="bottom"/>
            <w:hideMark/>
          </w:tcPr>
          <w:p w14:paraId="561CE707"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2DD7D701" w14:textId="77777777" w:rsidR="00FE3089" w:rsidRPr="00FE3089" w:rsidRDefault="00FE3089">
            <w:pPr>
              <w:rPr>
                <w:rFonts w:ascii="Calibri" w:hAnsi="Calibri" w:cs="Calibri"/>
                <w:color w:val="00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27B975F9"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1C137A83"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44</w:t>
            </w:r>
          </w:p>
          <w:p w14:paraId="1A9C529F" w14:textId="324FC4BD" w:rsidR="003B5CA5" w:rsidRPr="00FE3089" w:rsidRDefault="003B5CA5">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7A1A61B8"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2026-141161</w:t>
            </w:r>
          </w:p>
        </w:tc>
        <w:tc>
          <w:tcPr>
            <w:tcW w:w="1722" w:type="pct"/>
            <w:tcBorders>
              <w:top w:val="nil"/>
              <w:left w:val="nil"/>
              <w:bottom w:val="single" w:sz="4" w:space="0" w:color="BFBFBF"/>
              <w:right w:val="single" w:sz="4" w:space="0" w:color="BFBFBF"/>
            </w:tcBorders>
            <w:shd w:val="clear" w:color="000000" w:fill="EAF1F8"/>
            <w:vAlign w:val="center"/>
            <w:hideMark/>
          </w:tcPr>
          <w:p w14:paraId="6123C661"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MICOR A DIVISION OF SUPER GROUP TRADING (PTY) LTD T/A SG TRADE FINANCE V. BEARING SERVICES (AFRICA) (PTY) LTD</w:t>
            </w:r>
          </w:p>
        </w:tc>
        <w:tc>
          <w:tcPr>
            <w:tcW w:w="982" w:type="pct"/>
            <w:tcBorders>
              <w:top w:val="nil"/>
              <w:left w:val="nil"/>
              <w:bottom w:val="single" w:sz="4" w:space="0" w:color="BFBFBF"/>
              <w:right w:val="nil"/>
            </w:tcBorders>
            <w:shd w:val="clear" w:color="000000" w:fill="EAF1F8"/>
            <w:vAlign w:val="bottom"/>
            <w:hideMark/>
          </w:tcPr>
          <w:p w14:paraId="6F046666"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16D941AE"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 xml:space="preserve">Ex </w:t>
            </w:r>
            <w:proofErr w:type="spellStart"/>
            <w:r w:rsidRPr="00FE3089">
              <w:rPr>
                <w:rFonts w:ascii="Calibri" w:hAnsi="Calibri" w:cs="Calibri"/>
                <w:color w:val="000000"/>
                <w:sz w:val="20"/>
                <w:szCs w:val="20"/>
              </w:rPr>
              <w:t>Parte</w:t>
            </w:r>
            <w:proofErr w:type="spellEnd"/>
          </w:p>
        </w:tc>
      </w:tr>
      <w:tr w:rsidR="00FE3089" w:rsidRPr="00FE3089" w14:paraId="6691484B" w14:textId="77777777" w:rsidTr="00AE0221">
        <w:trPr>
          <w:trHeight w:val="640"/>
        </w:trPr>
        <w:tc>
          <w:tcPr>
            <w:tcW w:w="319" w:type="pct"/>
            <w:tcBorders>
              <w:top w:val="nil"/>
              <w:left w:val="single" w:sz="4" w:space="0" w:color="BFBFBF"/>
              <w:bottom w:val="single" w:sz="4" w:space="0" w:color="BFBFBF"/>
              <w:right w:val="single" w:sz="4" w:space="0" w:color="BFBFBF"/>
            </w:tcBorders>
            <w:noWrap/>
            <w:vAlign w:val="center"/>
            <w:hideMark/>
          </w:tcPr>
          <w:p w14:paraId="10EF890F"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lastRenderedPageBreak/>
              <w:t>47</w:t>
            </w:r>
          </w:p>
        </w:tc>
        <w:tc>
          <w:tcPr>
            <w:tcW w:w="856" w:type="pct"/>
            <w:tcBorders>
              <w:top w:val="nil"/>
              <w:left w:val="nil"/>
              <w:bottom w:val="single" w:sz="4" w:space="0" w:color="BFBFBF"/>
              <w:right w:val="single" w:sz="4" w:space="0" w:color="BFBFBF"/>
            </w:tcBorders>
            <w:noWrap/>
            <w:vAlign w:val="center"/>
            <w:hideMark/>
          </w:tcPr>
          <w:p w14:paraId="5069AF62"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2026-173319</w:t>
            </w:r>
          </w:p>
        </w:tc>
        <w:tc>
          <w:tcPr>
            <w:tcW w:w="1722" w:type="pct"/>
            <w:tcBorders>
              <w:top w:val="nil"/>
              <w:left w:val="nil"/>
              <w:bottom w:val="single" w:sz="4" w:space="0" w:color="BFBFBF"/>
              <w:right w:val="single" w:sz="4" w:space="0" w:color="BFBFBF"/>
            </w:tcBorders>
            <w:vAlign w:val="center"/>
            <w:hideMark/>
          </w:tcPr>
          <w:p w14:paraId="017A1F84"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NCEBA SIMPHIWE NOSENGA V. DUNCANVILLE INDUSTRIAL BODY CORPORATE</w:t>
            </w:r>
          </w:p>
        </w:tc>
        <w:tc>
          <w:tcPr>
            <w:tcW w:w="982" w:type="pct"/>
            <w:tcBorders>
              <w:top w:val="nil"/>
              <w:left w:val="nil"/>
              <w:bottom w:val="single" w:sz="4" w:space="0" w:color="BFBFBF"/>
              <w:right w:val="nil"/>
            </w:tcBorders>
            <w:vAlign w:val="bottom"/>
            <w:hideMark/>
          </w:tcPr>
          <w:p w14:paraId="3C4A441E"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0823F597" w14:textId="327E1BE7" w:rsidR="00FE3089" w:rsidRPr="00803AB1" w:rsidRDefault="007E5FFE">
            <w:pPr>
              <w:rPr>
                <w:rFonts w:ascii="Calibri" w:hAnsi="Calibri" w:cs="Calibri"/>
                <w:color w:val="EE0000"/>
                <w:sz w:val="20"/>
                <w:szCs w:val="20"/>
              </w:rPr>
            </w:pPr>
            <w:r w:rsidRPr="007E5FFE">
              <w:rPr>
                <w:rFonts w:ascii="Calibri" w:hAnsi="Calibri" w:cs="Calibri"/>
                <w:sz w:val="20"/>
                <w:szCs w:val="20"/>
              </w:rPr>
              <w:t xml:space="preserve">No papers on </w:t>
            </w:r>
            <w:proofErr w:type="spellStart"/>
            <w:r w:rsidRPr="007E5FFE">
              <w:rPr>
                <w:rFonts w:ascii="Calibri" w:hAnsi="Calibri" w:cs="Calibri"/>
                <w:sz w:val="20"/>
                <w:szCs w:val="20"/>
              </w:rPr>
              <w:t>Caselines</w:t>
            </w:r>
            <w:proofErr w:type="spellEnd"/>
            <w:r w:rsidRPr="007E5FFE">
              <w:rPr>
                <w:rFonts w:ascii="Calibri" w:hAnsi="Calibri" w:cs="Calibri"/>
                <w:sz w:val="20"/>
                <w:szCs w:val="20"/>
              </w:rPr>
              <w:t xml:space="preserve"> </w:t>
            </w:r>
          </w:p>
        </w:tc>
      </w:tr>
      <w:tr w:rsidR="00FE3089" w:rsidRPr="00FE3089" w14:paraId="66AAB720"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6E8F460D"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50</w:t>
            </w:r>
          </w:p>
        </w:tc>
        <w:tc>
          <w:tcPr>
            <w:tcW w:w="856" w:type="pct"/>
            <w:tcBorders>
              <w:top w:val="nil"/>
              <w:left w:val="nil"/>
              <w:bottom w:val="single" w:sz="4" w:space="0" w:color="BFBFBF"/>
              <w:right w:val="single" w:sz="4" w:space="0" w:color="BFBFBF"/>
            </w:tcBorders>
            <w:shd w:val="clear" w:color="000000" w:fill="EAF1F8"/>
            <w:noWrap/>
            <w:vAlign w:val="center"/>
            <w:hideMark/>
          </w:tcPr>
          <w:p w14:paraId="097F54A4"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2026-166419</w:t>
            </w:r>
          </w:p>
        </w:tc>
        <w:tc>
          <w:tcPr>
            <w:tcW w:w="1722" w:type="pct"/>
            <w:tcBorders>
              <w:top w:val="nil"/>
              <w:left w:val="nil"/>
              <w:bottom w:val="single" w:sz="4" w:space="0" w:color="BFBFBF"/>
              <w:right w:val="single" w:sz="4" w:space="0" w:color="BFBFBF"/>
            </w:tcBorders>
            <w:shd w:val="clear" w:color="000000" w:fill="EAF1F8"/>
            <w:vAlign w:val="center"/>
            <w:hideMark/>
          </w:tcPr>
          <w:p w14:paraId="74DECB0D"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RENTA PLETT V. GARY ABKIN</w:t>
            </w:r>
          </w:p>
        </w:tc>
        <w:tc>
          <w:tcPr>
            <w:tcW w:w="982" w:type="pct"/>
            <w:tcBorders>
              <w:top w:val="nil"/>
              <w:left w:val="nil"/>
              <w:bottom w:val="single" w:sz="4" w:space="0" w:color="BFBFBF"/>
              <w:right w:val="nil"/>
            </w:tcBorders>
            <w:shd w:val="clear" w:color="000000" w:fill="EAF1F8"/>
            <w:vAlign w:val="bottom"/>
            <w:hideMark/>
          </w:tcPr>
          <w:p w14:paraId="5A1D50DD"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31B422E0" w14:textId="64DB78CC" w:rsidR="00FE3089" w:rsidRPr="00803AB1" w:rsidRDefault="005E2D00">
            <w:pPr>
              <w:rPr>
                <w:rFonts w:ascii="Calibri" w:hAnsi="Calibri" w:cs="Calibri"/>
                <w:color w:val="EE0000"/>
                <w:sz w:val="20"/>
                <w:szCs w:val="20"/>
              </w:rPr>
            </w:pPr>
            <w:r w:rsidRPr="007E5FFE">
              <w:rPr>
                <w:rFonts w:ascii="Calibri" w:hAnsi="Calibri" w:cs="Calibri"/>
                <w:sz w:val="20"/>
                <w:szCs w:val="20"/>
              </w:rPr>
              <w:t xml:space="preserve">No papers on </w:t>
            </w:r>
            <w:proofErr w:type="spellStart"/>
            <w:r w:rsidRPr="007E5FFE">
              <w:rPr>
                <w:rFonts w:ascii="Calibri" w:hAnsi="Calibri" w:cs="Calibri"/>
                <w:sz w:val="20"/>
                <w:szCs w:val="20"/>
              </w:rPr>
              <w:t>Caselines</w:t>
            </w:r>
            <w:proofErr w:type="spellEnd"/>
          </w:p>
        </w:tc>
      </w:tr>
      <w:tr w:rsidR="00FE3089" w:rsidRPr="00FE3089" w14:paraId="3211C044" w14:textId="77777777" w:rsidTr="00AE0221">
        <w:trPr>
          <w:trHeight w:val="640"/>
        </w:trPr>
        <w:tc>
          <w:tcPr>
            <w:tcW w:w="319" w:type="pct"/>
            <w:tcBorders>
              <w:top w:val="nil"/>
              <w:left w:val="single" w:sz="4" w:space="0" w:color="BFBFBF"/>
              <w:bottom w:val="single" w:sz="4" w:space="0" w:color="BFBFBF"/>
              <w:right w:val="single" w:sz="4" w:space="0" w:color="BFBFBF"/>
            </w:tcBorders>
            <w:noWrap/>
            <w:vAlign w:val="center"/>
            <w:hideMark/>
          </w:tcPr>
          <w:p w14:paraId="3E4038F7"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53</w:t>
            </w:r>
          </w:p>
        </w:tc>
        <w:tc>
          <w:tcPr>
            <w:tcW w:w="856" w:type="pct"/>
            <w:tcBorders>
              <w:top w:val="nil"/>
              <w:left w:val="nil"/>
              <w:bottom w:val="single" w:sz="4" w:space="0" w:color="BFBFBF"/>
              <w:right w:val="single" w:sz="4" w:space="0" w:color="BFBFBF"/>
            </w:tcBorders>
            <w:noWrap/>
            <w:vAlign w:val="center"/>
            <w:hideMark/>
          </w:tcPr>
          <w:p w14:paraId="40D63C9D"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2026-174896</w:t>
            </w:r>
          </w:p>
        </w:tc>
        <w:tc>
          <w:tcPr>
            <w:tcW w:w="1722" w:type="pct"/>
            <w:tcBorders>
              <w:top w:val="nil"/>
              <w:left w:val="nil"/>
              <w:bottom w:val="single" w:sz="4" w:space="0" w:color="BFBFBF"/>
              <w:right w:val="single" w:sz="4" w:space="0" w:color="BFBFBF"/>
            </w:tcBorders>
            <w:vAlign w:val="center"/>
            <w:hideMark/>
          </w:tcPr>
          <w:p w14:paraId="75E0278D"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SHUKRALA SAID TEMSGEN V. THE DEPARTMENT OF HOME AFFAIRS</w:t>
            </w:r>
          </w:p>
        </w:tc>
        <w:tc>
          <w:tcPr>
            <w:tcW w:w="982" w:type="pct"/>
            <w:tcBorders>
              <w:top w:val="nil"/>
              <w:left w:val="nil"/>
              <w:bottom w:val="single" w:sz="4" w:space="0" w:color="BFBFBF"/>
              <w:right w:val="nil"/>
            </w:tcBorders>
            <w:vAlign w:val="bottom"/>
            <w:hideMark/>
          </w:tcPr>
          <w:p w14:paraId="2991CA97"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5915BD73" w14:textId="6B2C45E4" w:rsidR="00FE3089" w:rsidRPr="00803AB1" w:rsidRDefault="00905451">
            <w:pPr>
              <w:rPr>
                <w:rFonts w:ascii="Calibri" w:hAnsi="Calibri" w:cs="Calibri"/>
                <w:color w:val="EE0000"/>
                <w:sz w:val="20"/>
                <w:szCs w:val="20"/>
              </w:rPr>
            </w:pPr>
            <w:r w:rsidRPr="00905451">
              <w:rPr>
                <w:rFonts w:ascii="Calibri" w:hAnsi="Calibri" w:cs="Calibri"/>
                <w:sz w:val="20"/>
                <w:szCs w:val="20"/>
              </w:rPr>
              <w:t xml:space="preserve">No Practice Note </w:t>
            </w:r>
          </w:p>
        </w:tc>
      </w:tr>
      <w:tr w:rsidR="00FE3089" w:rsidRPr="00FE3089" w14:paraId="0631460C"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6A6C8EEE"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56</w:t>
            </w:r>
          </w:p>
          <w:p w14:paraId="6E09C239" w14:textId="61B422B1" w:rsidR="00D94A27" w:rsidRPr="00FE3089" w:rsidRDefault="00D94A27">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076CF687"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2026-174889</w:t>
            </w:r>
          </w:p>
        </w:tc>
        <w:tc>
          <w:tcPr>
            <w:tcW w:w="1722" w:type="pct"/>
            <w:tcBorders>
              <w:top w:val="nil"/>
              <w:left w:val="nil"/>
              <w:bottom w:val="single" w:sz="4" w:space="0" w:color="BFBFBF"/>
              <w:right w:val="single" w:sz="4" w:space="0" w:color="BFBFBF"/>
            </w:tcBorders>
            <w:shd w:val="clear" w:color="000000" w:fill="EAF1F8"/>
            <w:vAlign w:val="center"/>
            <w:hideMark/>
          </w:tcPr>
          <w:p w14:paraId="7A3A4938"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TELESE BERSLY V. THE DEPARTMENT OF HOME AFFAIRS</w:t>
            </w:r>
          </w:p>
        </w:tc>
        <w:tc>
          <w:tcPr>
            <w:tcW w:w="982" w:type="pct"/>
            <w:tcBorders>
              <w:top w:val="nil"/>
              <w:left w:val="nil"/>
              <w:bottom w:val="single" w:sz="4" w:space="0" w:color="BFBFBF"/>
              <w:right w:val="nil"/>
            </w:tcBorders>
            <w:shd w:val="clear" w:color="000000" w:fill="EAF1F8"/>
            <w:vAlign w:val="bottom"/>
            <w:hideMark/>
          </w:tcPr>
          <w:p w14:paraId="14399F1D"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0199D948"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7E8395C9" w14:textId="77777777" w:rsidTr="00AE0221">
        <w:trPr>
          <w:trHeight w:val="640"/>
        </w:trPr>
        <w:tc>
          <w:tcPr>
            <w:tcW w:w="319" w:type="pct"/>
            <w:tcBorders>
              <w:top w:val="nil"/>
              <w:left w:val="single" w:sz="4" w:space="0" w:color="BFBFBF"/>
              <w:bottom w:val="single" w:sz="4" w:space="0" w:color="BFBFBF"/>
              <w:right w:val="single" w:sz="4" w:space="0" w:color="BFBFBF"/>
            </w:tcBorders>
            <w:noWrap/>
            <w:vAlign w:val="center"/>
            <w:hideMark/>
          </w:tcPr>
          <w:p w14:paraId="664D32F7"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59</w:t>
            </w:r>
          </w:p>
          <w:p w14:paraId="2B58F841" w14:textId="3AA90F36" w:rsidR="00A039BA" w:rsidRPr="00FE3089" w:rsidRDefault="00A039BA">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noWrap/>
            <w:vAlign w:val="center"/>
            <w:hideMark/>
          </w:tcPr>
          <w:p w14:paraId="0F3895F1"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2026-174999</w:t>
            </w:r>
          </w:p>
        </w:tc>
        <w:tc>
          <w:tcPr>
            <w:tcW w:w="1722" w:type="pct"/>
            <w:tcBorders>
              <w:top w:val="nil"/>
              <w:left w:val="nil"/>
              <w:bottom w:val="single" w:sz="4" w:space="0" w:color="BFBFBF"/>
              <w:right w:val="single" w:sz="4" w:space="0" w:color="BFBFBF"/>
            </w:tcBorders>
            <w:vAlign w:val="center"/>
            <w:hideMark/>
          </w:tcPr>
          <w:p w14:paraId="08DD02DA"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THOMAS HAZIE V. DEPARTMENT OF HOME AFFAIRS</w:t>
            </w:r>
          </w:p>
        </w:tc>
        <w:tc>
          <w:tcPr>
            <w:tcW w:w="982" w:type="pct"/>
            <w:tcBorders>
              <w:top w:val="nil"/>
              <w:left w:val="nil"/>
              <w:bottom w:val="single" w:sz="4" w:space="0" w:color="BFBFBF"/>
              <w:right w:val="nil"/>
            </w:tcBorders>
            <w:vAlign w:val="bottom"/>
            <w:hideMark/>
          </w:tcPr>
          <w:p w14:paraId="54F69BD3"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13C4C343"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4F59EC75" w14:textId="77777777" w:rsidTr="00AE0221">
        <w:trPr>
          <w:trHeight w:val="640"/>
        </w:trPr>
        <w:tc>
          <w:tcPr>
            <w:tcW w:w="319" w:type="pct"/>
            <w:tcBorders>
              <w:top w:val="nil"/>
              <w:left w:val="single" w:sz="4" w:space="0" w:color="BFBFBF"/>
              <w:bottom w:val="nil"/>
              <w:right w:val="single" w:sz="4" w:space="0" w:color="BFBFBF"/>
            </w:tcBorders>
            <w:shd w:val="clear" w:color="000000" w:fill="EAF1F8"/>
            <w:noWrap/>
            <w:vAlign w:val="center"/>
            <w:hideMark/>
          </w:tcPr>
          <w:p w14:paraId="0E9E9401"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62</w:t>
            </w:r>
          </w:p>
          <w:p w14:paraId="191645EB" w14:textId="74A0A40E" w:rsidR="00524F92" w:rsidRPr="00FE3089" w:rsidRDefault="00524F92">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nil"/>
              <w:right w:val="single" w:sz="4" w:space="0" w:color="BFBFBF"/>
            </w:tcBorders>
            <w:shd w:val="clear" w:color="000000" w:fill="EAF1F8"/>
            <w:noWrap/>
            <w:vAlign w:val="center"/>
            <w:hideMark/>
          </w:tcPr>
          <w:p w14:paraId="068512A1"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2026-174717</w:t>
            </w:r>
          </w:p>
        </w:tc>
        <w:tc>
          <w:tcPr>
            <w:tcW w:w="1722" w:type="pct"/>
            <w:tcBorders>
              <w:top w:val="nil"/>
              <w:left w:val="nil"/>
              <w:bottom w:val="nil"/>
              <w:right w:val="single" w:sz="4" w:space="0" w:color="BFBFBF"/>
            </w:tcBorders>
            <w:shd w:val="clear" w:color="000000" w:fill="EAF1F8"/>
            <w:vAlign w:val="center"/>
            <w:hideMark/>
          </w:tcPr>
          <w:p w14:paraId="3A285E31"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TSAKANE AMOS GUAMBE V. THE MINISTER OF HOME AFFAIRS</w:t>
            </w:r>
          </w:p>
        </w:tc>
        <w:tc>
          <w:tcPr>
            <w:tcW w:w="982" w:type="pct"/>
            <w:tcBorders>
              <w:top w:val="nil"/>
              <w:left w:val="nil"/>
              <w:bottom w:val="nil"/>
              <w:right w:val="nil"/>
            </w:tcBorders>
            <w:shd w:val="clear" w:color="000000" w:fill="EAF1F8"/>
            <w:vAlign w:val="bottom"/>
            <w:hideMark/>
          </w:tcPr>
          <w:p w14:paraId="0601EC7C"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12D9FA09"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36C3E0F3" w14:textId="77777777" w:rsidTr="00AE0221">
        <w:trPr>
          <w:trHeight w:val="640"/>
        </w:trPr>
        <w:tc>
          <w:tcPr>
            <w:tcW w:w="319" w:type="pct"/>
            <w:tcBorders>
              <w:top w:val="single" w:sz="4" w:space="0" w:color="BFBFBF"/>
              <w:left w:val="single" w:sz="4" w:space="0" w:color="BFBFBF"/>
              <w:bottom w:val="single" w:sz="4" w:space="0" w:color="BFBFBF"/>
              <w:right w:val="single" w:sz="4" w:space="0" w:color="BFBFBF"/>
            </w:tcBorders>
            <w:shd w:val="clear" w:color="000000" w:fill="FFFFFF"/>
            <w:noWrap/>
            <w:vAlign w:val="center"/>
            <w:hideMark/>
          </w:tcPr>
          <w:p w14:paraId="0235EB0E"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65</w:t>
            </w:r>
          </w:p>
          <w:p w14:paraId="47D11F64" w14:textId="69873706" w:rsidR="00696C35" w:rsidRPr="00FE3089" w:rsidRDefault="00696C35">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single" w:sz="4" w:space="0" w:color="BFBFBF"/>
              <w:left w:val="nil"/>
              <w:bottom w:val="single" w:sz="4" w:space="0" w:color="BFBFBF"/>
              <w:right w:val="single" w:sz="4" w:space="0" w:color="BFBFBF"/>
            </w:tcBorders>
            <w:shd w:val="clear" w:color="000000" w:fill="FFFFFF"/>
            <w:noWrap/>
            <w:vAlign w:val="center"/>
            <w:hideMark/>
          </w:tcPr>
          <w:p w14:paraId="3CAE25D5"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2026-176088</w:t>
            </w:r>
          </w:p>
        </w:tc>
        <w:tc>
          <w:tcPr>
            <w:tcW w:w="1722" w:type="pct"/>
            <w:tcBorders>
              <w:top w:val="single" w:sz="4" w:space="0" w:color="BFBFBF"/>
              <w:left w:val="nil"/>
              <w:bottom w:val="single" w:sz="4" w:space="0" w:color="BFBFBF"/>
              <w:right w:val="single" w:sz="4" w:space="0" w:color="BFBFBF"/>
            </w:tcBorders>
            <w:shd w:val="clear" w:color="000000" w:fill="FFFFFF"/>
            <w:vAlign w:val="center"/>
            <w:hideMark/>
          </w:tcPr>
          <w:p w14:paraId="7FEE226F"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DIGAFU KASSA V. DEPARTMENT OF HOME AFFAIRS</w:t>
            </w:r>
          </w:p>
        </w:tc>
        <w:tc>
          <w:tcPr>
            <w:tcW w:w="982" w:type="pct"/>
            <w:tcBorders>
              <w:top w:val="single" w:sz="4" w:space="0" w:color="BFBFBF"/>
              <w:left w:val="nil"/>
              <w:bottom w:val="single" w:sz="4" w:space="0" w:color="BFBFBF"/>
              <w:right w:val="nil"/>
            </w:tcBorders>
            <w:shd w:val="clear" w:color="000000" w:fill="FFFFFF"/>
            <w:vAlign w:val="bottom"/>
            <w:hideMark/>
          </w:tcPr>
          <w:p w14:paraId="790F43B4"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59A5553D"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696A0868"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13999150"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68</w:t>
            </w:r>
          </w:p>
        </w:tc>
        <w:tc>
          <w:tcPr>
            <w:tcW w:w="856" w:type="pct"/>
            <w:tcBorders>
              <w:top w:val="nil"/>
              <w:left w:val="nil"/>
              <w:bottom w:val="single" w:sz="4" w:space="0" w:color="BFBFBF"/>
              <w:right w:val="single" w:sz="4" w:space="0" w:color="BFBFBF"/>
            </w:tcBorders>
            <w:shd w:val="clear" w:color="000000" w:fill="EAF1F8"/>
            <w:noWrap/>
            <w:vAlign w:val="center"/>
            <w:hideMark/>
          </w:tcPr>
          <w:p w14:paraId="05686509"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2026-176175</w:t>
            </w:r>
          </w:p>
        </w:tc>
        <w:tc>
          <w:tcPr>
            <w:tcW w:w="1722" w:type="pct"/>
            <w:tcBorders>
              <w:top w:val="nil"/>
              <w:left w:val="nil"/>
              <w:bottom w:val="single" w:sz="4" w:space="0" w:color="BFBFBF"/>
              <w:right w:val="single" w:sz="4" w:space="0" w:color="BFBFBF"/>
            </w:tcBorders>
            <w:shd w:val="clear" w:color="000000" w:fill="EAF1F8"/>
            <w:vAlign w:val="center"/>
            <w:hideMark/>
          </w:tcPr>
          <w:p w14:paraId="10F8BBE0"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MARTINS ONYEKA MMOUNYILO V. THE DEPARTMENT OF HOME AFFAIRS</w:t>
            </w:r>
          </w:p>
        </w:tc>
        <w:tc>
          <w:tcPr>
            <w:tcW w:w="982" w:type="pct"/>
            <w:tcBorders>
              <w:top w:val="nil"/>
              <w:left w:val="nil"/>
              <w:bottom w:val="single" w:sz="4" w:space="0" w:color="BFBFBF"/>
              <w:right w:val="nil"/>
            </w:tcBorders>
            <w:shd w:val="clear" w:color="000000" w:fill="EAF1F8"/>
            <w:vAlign w:val="bottom"/>
            <w:hideMark/>
          </w:tcPr>
          <w:p w14:paraId="54D83392"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053F5344" w14:textId="7E014D96" w:rsidR="00FE3089" w:rsidRPr="00803AB1" w:rsidRDefault="00B312A1">
            <w:pPr>
              <w:rPr>
                <w:rFonts w:ascii="Calibri" w:hAnsi="Calibri" w:cs="Calibri"/>
                <w:color w:val="EE0000"/>
                <w:sz w:val="20"/>
                <w:szCs w:val="20"/>
              </w:rPr>
            </w:pPr>
            <w:r w:rsidRPr="00B312A1">
              <w:rPr>
                <w:rFonts w:ascii="Calibri" w:hAnsi="Calibri" w:cs="Calibri"/>
                <w:sz w:val="20"/>
                <w:szCs w:val="20"/>
              </w:rPr>
              <w:t xml:space="preserve">No Practice Note </w:t>
            </w:r>
          </w:p>
        </w:tc>
      </w:tr>
      <w:tr w:rsidR="00FE3089" w:rsidRPr="00FE3089" w14:paraId="54D24C06"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FFFFFF"/>
            <w:noWrap/>
            <w:vAlign w:val="center"/>
            <w:hideMark/>
          </w:tcPr>
          <w:p w14:paraId="23D15A2B"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71</w:t>
            </w:r>
          </w:p>
        </w:tc>
        <w:tc>
          <w:tcPr>
            <w:tcW w:w="856" w:type="pct"/>
            <w:tcBorders>
              <w:top w:val="nil"/>
              <w:left w:val="nil"/>
              <w:bottom w:val="single" w:sz="4" w:space="0" w:color="BFBFBF"/>
              <w:right w:val="single" w:sz="4" w:space="0" w:color="BFBFBF"/>
            </w:tcBorders>
            <w:shd w:val="clear" w:color="000000" w:fill="FFFFFF"/>
            <w:noWrap/>
            <w:vAlign w:val="center"/>
            <w:hideMark/>
          </w:tcPr>
          <w:p w14:paraId="317CFC0A"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2026-175984</w:t>
            </w:r>
          </w:p>
        </w:tc>
        <w:tc>
          <w:tcPr>
            <w:tcW w:w="1722" w:type="pct"/>
            <w:tcBorders>
              <w:top w:val="nil"/>
              <w:left w:val="nil"/>
              <w:bottom w:val="single" w:sz="4" w:space="0" w:color="BFBFBF"/>
              <w:right w:val="single" w:sz="4" w:space="0" w:color="BFBFBF"/>
            </w:tcBorders>
            <w:shd w:val="clear" w:color="000000" w:fill="FFFFFF"/>
            <w:vAlign w:val="center"/>
            <w:hideMark/>
          </w:tcPr>
          <w:p w14:paraId="22DDCC00"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AMBER LEIGH FARBER V. THEODORE VAN DEN HEEVER</w:t>
            </w:r>
          </w:p>
        </w:tc>
        <w:tc>
          <w:tcPr>
            <w:tcW w:w="982" w:type="pct"/>
            <w:tcBorders>
              <w:top w:val="nil"/>
              <w:left w:val="nil"/>
              <w:bottom w:val="single" w:sz="4" w:space="0" w:color="BFBFBF"/>
              <w:right w:val="nil"/>
            </w:tcBorders>
            <w:shd w:val="clear" w:color="000000" w:fill="FFFFFF"/>
            <w:vAlign w:val="bottom"/>
            <w:hideMark/>
          </w:tcPr>
          <w:p w14:paraId="253A6B0E"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1CB029E2" w14:textId="11A5E115" w:rsidR="00FE3089" w:rsidRDefault="00C2590C">
            <w:pPr>
              <w:rPr>
                <w:rFonts w:ascii="Calibri" w:hAnsi="Calibri" w:cs="Calibri"/>
                <w:sz w:val="20"/>
                <w:szCs w:val="20"/>
              </w:rPr>
            </w:pPr>
            <w:r w:rsidRPr="00C2590C">
              <w:rPr>
                <w:rFonts w:ascii="Calibri" w:hAnsi="Calibri" w:cs="Calibri"/>
                <w:sz w:val="20"/>
                <w:szCs w:val="20"/>
              </w:rPr>
              <w:t xml:space="preserve">Opposed </w:t>
            </w:r>
            <w:r w:rsidR="00EE6E0A">
              <w:rPr>
                <w:rFonts w:ascii="Calibri" w:hAnsi="Calibri" w:cs="Calibri"/>
                <w:sz w:val="20"/>
                <w:szCs w:val="20"/>
              </w:rPr>
              <w:t>(NIO)</w:t>
            </w:r>
          </w:p>
          <w:p w14:paraId="4D29BA06" w14:textId="0270AD59" w:rsidR="00425A05" w:rsidRPr="00803AB1" w:rsidRDefault="00425A05">
            <w:pPr>
              <w:rPr>
                <w:rFonts w:ascii="Calibri" w:hAnsi="Calibri" w:cs="Calibri"/>
                <w:color w:val="EE0000"/>
                <w:sz w:val="20"/>
                <w:szCs w:val="20"/>
              </w:rPr>
            </w:pPr>
            <w:r>
              <w:rPr>
                <w:rFonts w:ascii="Calibri" w:hAnsi="Calibri" w:cs="Calibri"/>
                <w:sz w:val="20"/>
                <w:szCs w:val="20"/>
              </w:rPr>
              <w:t xml:space="preserve">No Practice Notes </w:t>
            </w:r>
          </w:p>
        </w:tc>
      </w:tr>
      <w:tr w:rsidR="00FE3089" w:rsidRPr="00FE3089" w14:paraId="111A68F9"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34A47136"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74</w:t>
            </w:r>
          </w:p>
          <w:p w14:paraId="22BB65D6" w14:textId="2397FCBC" w:rsidR="00696C35" w:rsidRPr="00FE3089" w:rsidRDefault="00696C35">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0A3E8C8D"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2026-176298</w:t>
            </w:r>
          </w:p>
        </w:tc>
        <w:tc>
          <w:tcPr>
            <w:tcW w:w="1722" w:type="pct"/>
            <w:tcBorders>
              <w:top w:val="nil"/>
              <w:left w:val="nil"/>
              <w:bottom w:val="single" w:sz="4" w:space="0" w:color="BFBFBF"/>
              <w:right w:val="single" w:sz="4" w:space="0" w:color="BFBFBF"/>
            </w:tcBorders>
            <w:shd w:val="clear" w:color="000000" w:fill="EAF1F8"/>
            <w:vAlign w:val="center"/>
            <w:hideMark/>
          </w:tcPr>
          <w:p w14:paraId="1CA2AD7B"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ONAI MUPFUNGURI V. COMIT CAPITAL (PTY) LTD</w:t>
            </w:r>
          </w:p>
        </w:tc>
        <w:tc>
          <w:tcPr>
            <w:tcW w:w="982" w:type="pct"/>
            <w:tcBorders>
              <w:top w:val="nil"/>
              <w:left w:val="nil"/>
              <w:bottom w:val="single" w:sz="4" w:space="0" w:color="BFBFBF"/>
              <w:right w:val="nil"/>
            </w:tcBorders>
            <w:shd w:val="clear" w:color="000000" w:fill="EAF1F8"/>
            <w:vAlign w:val="bottom"/>
            <w:hideMark/>
          </w:tcPr>
          <w:p w14:paraId="3CBEA71E"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791E0E60"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No practice note</w:t>
            </w:r>
          </w:p>
        </w:tc>
      </w:tr>
      <w:tr w:rsidR="00FE3089" w:rsidRPr="00FE3089" w14:paraId="239B5DC9"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FFFFFF"/>
            <w:noWrap/>
            <w:vAlign w:val="center"/>
            <w:hideMark/>
          </w:tcPr>
          <w:p w14:paraId="65EB5C78"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77</w:t>
            </w:r>
          </w:p>
          <w:p w14:paraId="3D39C1BE" w14:textId="114747F4" w:rsidR="00956DB3" w:rsidRPr="00FE3089" w:rsidRDefault="00956DB3">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FFFFFF"/>
            <w:noWrap/>
            <w:vAlign w:val="center"/>
            <w:hideMark/>
          </w:tcPr>
          <w:p w14:paraId="6BCA7315"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2026-176397</w:t>
            </w:r>
          </w:p>
        </w:tc>
        <w:tc>
          <w:tcPr>
            <w:tcW w:w="1722" w:type="pct"/>
            <w:tcBorders>
              <w:top w:val="nil"/>
              <w:left w:val="nil"/>
              <w:bottom w:val="single" w:sz="4" w:space="0" w:color="BFBFBF"/>
              <w:right w:val="single" w:sz="4" w:space="0" w:color="BFBFBF"/>
            </w:tcBorders>
            <w:shd w:val="clear" w:color="000000" w:fill="FFFFFF"/>
            <w:vAlign w:val="center"/>
            <w:hideMark/>
          </w:tcPr>
          <w:p w14:paraId="50ADDD65"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MFANUFIKILE N/A DAZA V. MINE HEALTH AND SAFETY COUNCIL (MHSC)</w:t>
            </w:r>
          </w:p>
        </w:tc>
        <w:tc>
          <w:tcPr>
            <w:tcW w:w="982" w:type="pct"/>
            <w:tcBorders>
              <w:top w:val="nil"/>
              <w:left w:val="nil"/>
              <w:bottom w:val="single" w:sz="4" w:space="0" w:color="BFBFBF"/>
              <w:right w:val="nil"/>
            </w:tcBorders>
            <w:shd w:val="clear" w:color="000000" w:fill="FFFFFF"/>
            <w:vAlign w:val="bottom"/>
            <w:hideMark/>
          </w:tcPr>
          <w:p w14:paraId="35816B82"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410623E2"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2966F6C9"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483CBFA2"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80</w:t>
            </w:r>
          </w:p>
          <w:p w14:paraId="1A69A2D7" w14:textId="5D909333" w:rsidR="00C83CFE" w:rsidRPr="00FE3089" w:rsidRDefault="00C83CFE">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6198DC22"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2026-176500</w:t>
            </w:r>
          </w:p>
        </w:tc>
        <w:tc>
          <w:tcPr>
            <w:tcW w:w="1722" w:type="pct"/>
            <w:tcBorders>
              <w:top w:val="nil"/>
              <w:left w:val="nil"/>
              <w:bottom w:val="single" w:sz="4" w:space="0" w:color="BFBFBF"/>
              <w:right w:val="single" w:sz="4" w:space="0" w:color="BFBFBF"/>
            </w:tcBorders>
            <w:shd w:val="clear" w:color="000000" w:fill="EAF1F8"/>
            <w:vAlign w:val="center"/>
            <w:hideMark/>
          </w:tcPr>
          <w:p w14:paraId="4041EFE0"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EMMANUEL KALU V. MINISTER OF HOME AFFAIRS</w:t>
            </w:r>
          </w:p>
        </w:tc>
        <w:tc>
          <w:tcPr>
            <w:tcW w:w="982" w:type="pct"/>
            <w:tcBorders>
              <w:top w:val="nil"/>
              <w:left w:val="nil"/>
              <w:bottom w:val="single" w:sz="4" w:space="0" w:color="BFBFBF"/>
              <w:right w:val="nil"/>
            </w:tcBorders>
            <w:shd w:val="clear" w:color="000000" w:fill="EAF1F8"/>
            <w:vAlign w:val="bottom"/>
            <w:hideMark/>
          </w:tcPr>
          <w:p w14:paraId="4F0ECC8B"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05C9CA6A"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358F51AE"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FFFFFF"/>
            <w:noWrap/>
            <w:vAlign w:val="center"/>
            <w:hideMark/>
          </w:tcPr>
          <w:p w14:paraId="60CBA8FD"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83</w:t>
            </w:r>
          </w:p>
          <w:p w14:paraId="6E165249" w14:textId="001EEEB5" w:rsidR="001B3024" w:rsidRPr="00FE3089" w:rsidRDefault="001B3024">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FFFFFF"/>
            <w:noWrap/>
            <w:vAlign w:val="center"/>
            <w:hideMark/>
          </w:tcPr>
          <w:p w14:paraId="695FAF7B"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2026-176401</w:t>
            </w:r>
          </w:p>
        </w:tc>
        <w:tc>
          <w:tcPr>
            <w:tcW w:w="1722" w:type="pct"/>
            <w:tcBorders>
              <w:top w:val="nil"/>
              <w:left w:val="nil"/>
              <w:bottom w:val="single" w:sz="4" w:space="0" w:color="BFBFBF"/>
              <w:right w:val="single" w:sz="4" w:space="0" w:color="BFBFBF"/>
            </w:tcBorders>
            <w:shd w:val="clear" w:color="000000" w:fill="FFFFFF"/>
            <w:vAlign w:val="center"/>
            <w:hideMark/>
          </w:tcPr>
          <w:p w14:paraId="16DBF05B"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ADEWALE JACOB ODELABI V. MINISTER OF HOME AFFAIRS</w:t>
            </w:r>
          </w:p>
        </w:tc>
        <w:tc>
          <w:tcPr>
            <w:tcW w:w="982" w:type="pct"/>
            <w:tcBorders>
              <w:top w:val="nil"/>
              <w:left w:val="nil"/>
              <w:bottom w:val="single" w:sz="4" w:space="0" w:color="BFBFBF"/>
              <w:right w:val="nil"/>
            </w:tcBorders>
            <w:shd w:val="clear" w:color="000000" w:fill="FFFFFF"/>
            <w:vAlign w:val="bottom"/>
            <w:hideMark/>
          </w:tcPr>
          <w:p w14:paraId="40F6D4B0"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584A4D96"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409BEDEB"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61FDCCAF"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86</w:t>
            </w:r>
          </w:p>
          <w:p w14:paraId="563D400C" w14:textId="60A23661" w:rsidR="001B3024" w:rsidRPr="00FE3089" w:rsidRDefault="001B3024">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06CF0346"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2026-176497</w:t>
            </w:r>
          </w:p>
        </w:tc>
        <w:tc>
          <w:tcPr>
            <w:tcW w:w="1722" w:type="pct"/>
            <w:tcBorders>
              <w:top w:val="nil"/>
              <w:left w:val="nil"/>
              <w:bottom w:val="single" w:sz="4" w:space="0" w:color="BFBFBF"/>
              <w:right w:val="single" w:sz="4" w:space="0" w:color="BFBFBF"/>
            </w:tcBorders>
            <w:shd w:val="clear" w:color="000000" w:fill="EAF1F8"/>
            <w:vAlign w:val="center"/>
            <w:hideMark/>
          </w:tcPr>
          <w:p w14:paraId="4EBD5205"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MOSHOPYADI MAJA V. GOVERNMENT EMPLOYEES PENSION FUND</w:t>
            </w:r>
          </w:p>
        </w:tc>
        <w:tc>
          <w:tcPr>
            <w:tcW w:w="982" w:type="pct"/>
            <w:tcBorders>
              <w:top w:val="nil"/>
              <w:left w:val="nil"/>
              <w:bottom w:val="single" w:sz="4" w:space="0" w:color="BFBFBF"/>
              <w:right w:val="nil"/>
            </w:tcBorders>
            <w:shd w:val="clear" w:color="000000" w:fill="EAF1F8"/>
            <w:vAlign w:val="bottom"/>
            <w:hideMark/>
          </w:tcPr>
          <w:p w14:paraId="3BC22145"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21832E82"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No practice note</w:t>
            </w:r>
          </w:p>
        </w:tc>
      </w:tr>
      <w:tr w:rsidR="00FE3089" w:rsidRPr="00FE3089" w14:paraId="00D591B8"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FFFFFF"/>
            <w:noWrap/>
            <w:vAlign w:val="center"/>
            <w:hideMark/>
          </w:tcPr>
          <w:p w14:paraId="586107D6"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89</w:t>
            </w:r>
          </w:p>
          <w:p w14:paraId="39032F28" w14:textId="1D769288" w:rsidR="00D60F87" w:rsidRPr="00FE3089" w:rsidRDefault="00D60F87">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FFFFFF"/>
            <w:noWrap/>
            <w:vAlign w:val="center"/>
            <w:hideMark/>
          </w:tcPr>
          <w:p w14:paraId="4A34E2C1"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2026-176557</w:t>
            </w:r>
          </w:p>
        </w:tc>
        <w:tc>
          <w:tcPr>
            <w:tcW w:w="1722" w:type="pct"/>
            <w:tcBorders>
              <w:top w:val="nil"/>
              <w:left w:val="nil"/>
              <w:bottom w:val="single" w:sz="4" w:space="0" w:color="BFBFBF"/>
              <w:right w:val="single" w:sz="4" w:space="0" w:color="BFBFBF"/>
            </w:tcBorders>
            <w:shd w:val="clear" w:color="000000" w:fill="FFFFFF"/>
            <w:vAlign w:val="center"/>
            <w:hideMark/>
          </w:tcPr>
          <w:p w14:paraId="69EBDC0E"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SOUTH HILLS COMBINED SCHOOL (PTY) LTD V. CALOVOX PROPERTIES (PTY) LTD</w:t>
            </w:r>
          </w:p>
        </w:tc>
        <w:tc>
          <w:tcPr>
            <w:tcW w:w="982" w:type="pct"/>
            <w:tcBorders>
              <w:top w:val="nil"/>
              <w:left w:val="nil"/>
              <w:bottom w:val="single" w:sz="4" w:space="0" w:color="BFBFBF"/>
              <w:right w:val="nil"/>
            </w:tcBorders>
            <w:shd w:val="clear" w:color="000000" w:fill="FFFFFF"/>
            <w:vAlign w:val="bottom"/>
            <w:hideMark/>
          </w:tcPr>
          <w:p w14:paraId="191D0524"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FFFFFF"/>
            <w:vAlign w:val="center"/>
            <w:hideMark/>
          </w:tcPr>
          <w:p w14:paraId="095AF0D3"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r w:rsidR="00FE3089" w:rsidRPr="00FE3089" w14:paraId="5FEFD45C" w14:textId="77777777" w:rsidTr="00AE0221">
        <w:trPr>
          <w:trHeight w:val="640"/>
        </w:trPr>
        <w:tc>
          <w:tcPr>
            <w:tcW w:w="319" w:type="pct"/>
            <w:tcBorders>
              <w:top w:val="nil"/>
              <w:left w:val="single" w:sz="4" w:space="0" w:color="BFBFBF"/>
              <w:bottom w:val="single" w:sz="4" w:space="0" w:color="BFBFBF"/>
              <w:right w:val="single" w:sz="4" w:space="0" w:color="BFBFBF"/>
            </w:tcBorders>
            <w:shd w:val="clear" w:color="000000" w:fill="EAF1F8"/>
            <w:noWrap/>
            <w:vAlign w:val="center"/>
            <w:hideMark/>
          </w:tcPr>
          <w:p w14:paraId="7D92EC86" w14:textId="77777777" w:rsidR="00FE3089" w:rsidRDefault="00FE3089">
            <w:pPr>
              <w:jc w:val="center"/>
              <w:rPr>
                <w:rFonts w:ascii="Calibri" w:hAnsi="Calibri" w:cs="Calibri"/>
                <w:color w:val="000000"/>
                <w:sz w:val="20"/>
                <w:szCs w:val="20"/>
              </w:rPr>
            </w:pPr>
            <w:r w:rsidRPr="00FE3089">
              <w:rPr>
                <w:rFonts w:ascii="Calibri" w:hAnsi="Calibri" w:cs="Calibri"/>
                <w:color w:val="000000"/>
                <w:sz w:val="20"/>
                <w:szCs w:val="20"/>
              </w:rPr>
              <w:t>92</w:t>
            </w:r>
          </w:p>
          <w:p w14:paraId="1C43E2C3" w14:textId="0888CF2A" w:rsidR="0021546D" w:rsidRPr="00FE3089" w:rsidRDefault="0021546D">
            <w:pPr>
              <w:jc w:val="center"/>
              <w:rPr>
                <w:rFonts w:ascii="Calibri" w:hAnsi="Calibri" w:cs="Calibri"/>
                <w:color w:val="000000"/>
                <w:sz w:val="20"/>
                <w:szCs w:val="20"/>
              </w:rPr>
            </w:pPr>
            <w:r>
              <w:rPr>
                <w:rFonts w:ascii="Calibri" w:hAnsi="Calibri" w:cs="Calibri"/>
                <w:color w:val="000000"/>
                <w:sz w:val="20"/>
                <w:szCs w:val="20"/>
              </w:rPr>
              <w:t>x</w:t>
            </w:r>
          </w:p>
        </w:tc>
        <w:tc>
          <w:tcPr>
            <w:tcW w:w="856" w:type="pct"/>
            <w:tcBorders>
              <w:top w:val="nil"/>
              <w:left w:val="nil"/>
              <w:bottom w:val="single" w:sz="4" w:space="0" w:color="BFBFBF"/>
              <w:right w:val="single" w:sz="4" w:space="0" w:color="BFBFBF"/>
            </w:tcBorders>
            <w:shd w:val="clear" w:color="000000" w:fill="EAF1F8"/>
            <w:noWrap/>
            <w:vAlign w:val="center"/>
            <w:hideMark/>
          </w:tcPr>
          <w:p w14:paraId="735F1F0A"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2026-176531</w:t>
            </w:r>
          </w:p>
        </w:tc>
        <w:tc>
          <w:tcPr>
            <w:tcW w:w="1722" w:type="pct"/>
            <w:tcBorders>
              <w:top w:val="nil"/>
              <w:left w:val="nil"/>
              <w:bottom w:val="single" w:sz="4" w:space="0" w:color="BFBFBF"/>
              <w:right w:val="single" w:sz="4" w:space="0" w:color="BFBFBF"/>
            </w:tcBorders>
            <w:shd w:val="clear" w:color="000000" w:fill="EAF1F8"/>
            <w:vAlign w:val="center"/>
            <w:hideMark/>
          </w:tcPr>
          <w:p w14:paraId="2336C3EC" w14:textId="77777777" w:rsidR="00FE3089" w:rsidRPr="00FE3089" w:rsidRDefault="00FE3089">
            <w:pPr>
              <w:rPr>
                <w:rFonts w:ascii="Calibri" w:hAnsi="Calibri" w:cs="Calibri"/>
                <w:color w:val="000000"/>
                <w:sz w:val="20"/>
                <w:szCs w:val="20"/>
              </w:rPr>
            </w:pPr>
            <w:r w:rsidRPr="00FE3089">
              <w:rPr>
                <w:rFonts w:ascii="Calibri" w:hAnsi="Calibri" w:cs="Calibri"/>
                <w:color w:val="000000"/>
                <w:sz w:val="20"/>
                <w:szCs w:val="20"/>
              </w:rPr>
              <w:t>TIMOTHY CHUKWUOKE V. MINISTER OF HOME AFFAIRS</w:t>
            </w:r>
          </w:p>
        </w:tc>
        <w:tc>
          <w:tcPr>
            <w:tcW w:w="982" w:type="pct"/>
            <w:tcBorders>
              <w:top w:val="nil"/>
              <w:left w:val="nil"/>
              <w:bottom w:val="single" w:sz="4" w:space="0" w:color="BFBFBF"/>
              <w:right w:val="nil"/>
            </w:tcBorders>
            <w:shd w:val="clear" w:color="000000" w:fill="EAF1F8"/>
            <w:vAlign w:val="bottom"/>
            <w:hideMark/>
          </w:tcPr>
          <w:p w14:paraId="3453F440" w14:textId="77777777" w:rsidR="00FE3089" w:rsidRPr="00FE3089" w:rsidRDefault="00FE3089">
            <w:pPr>
              <w:jc w:val="center"/>
              <w:rPr>
                <w:rFonts w:ascii="Calibri" w:hAnsi="Calibri" w:cs="Calibri"/>
                <w:color w:val="000000"/>
                <w:sz w:val="20"/>
                <w:szCs w:val="20"/>
              </w:rPr>
            </w:pPr>
            <w:r w:rsidRPr="00FE3089">
              <w:rPr>
                <w:rFonts w:ascii="Calibri" w:hAnsi="Calibri" w:cs="Calibri"/>
                <w:color w:val="000000"/>
                <w:sz w:val="20"/>
                <w:szCs w:val="20"/>
              </w:rPr>
              <w:t>Tuesday, 28 July 2026</w:t>
            </w:r>
            <w:r w:rsidRPr="00FE3089">
              <w:rPr>
                <w:rFonts w:ascii="Calibri" w:hAnsi="Calibri" w:cs="Calibri"/>
                <w:color w:val="000000"/>
                <w:sz w:val="20"/>
                <w:szCs w:val="20"/>
              </w:rPr>
              <w:br/>
              <w:t>10:00</w:t>
            </w:r>
          </w:p>
        </w:tc>
        <w:tc>
          <w:tcPr>
            <w:tcW w:w="1120" w:type="pct"/>
            <w:tcBorders>
              <w:top w:val="nil"/>
              <w:left w:val="single" w:sz="4" w:space="0" w:color="BFBFBF"/>
              <w:bottom w:val="single" w:sz="4" w:space="0" w:color="BFBFBF"/>
              <w:right w:val="single" w:sz="4" w:space="0" w:color="BFBFBF"/>
            </w:tcBorders>
            <w:shd w:val="clear" w:color="000000" w:fill="EAF1F8"/>
            <w:vAlign w:val="center"/>
            <w:hideMark/>
          </w:tcPr>
          <w:p w14:paraId="13CDF9AB" w14:textId="77777777" w:rsidR="00FE3089" w:rsidRPr="00803AB1" w:rsidRDefault="00FE3089">
            <w:pPr>
              <w:rPr>
                <w:rFonts w:ascii="Calibri" w:hAnsi="Calibri" w:cs="Calibri"/>
                <w:color w:val="EE0000"/>
                <w:sz w:val="20"/>
                <w:szCs w:val="20"/>
              </w:rPr>
            </w:pPr>
            <w:r w:rsidRPr="00803AB1">
              <w:rPr>
                <w:rFonts w:ascii="Calibri" w:hAnsi="Calibri" w:cs="Calibri"/>
                <w:color w:val="EE0000"/>
                <w:sz w:val="20"/>
                <w:szCs w:val="20"/>
              </w:rPr>
              <w:t xml:space="preserve">No file on </w:t>
            </w:r>
            <w:proofErr w:type="spellStart"/>
            <w:r w:rsidRPr="00803AB1">
              <w:rPr>
                <w:rFonts w:ascii="Calibri" w:hAnsi="Calibri" w:cs="Calibri"/>
                <w:color w:val="EE0000"/>
                <w:sz w:val="20"/>
                <w:szCs w:val="20"/>
              </w:rPr>
              <w:t>CaseLines</w:t>
            </w:r>
            <w:proofErr w:type="spellEnd"/>
          </w:p>
        </w:tc>
      </w:tr>
    </w:tbl>
    <w:p w14:paraId="4705922F" w14:textId="5DBE42B1" w:rsidR="00636CCD" w:rsidRDefault="00636CCD">
      <w:pPr>
        <w:spacing w:after="160" w:line="300" w:lineRule="auto"/>
      </w:pPr>
    </w:p>
    <w:p w14:paraId="671161EE" w14:textId="77777777" w:rsidR="00636CCD" w:rsidRDefault="00636CCD">
      <w:r>
        <w:br w:type="page"/>
      </w:r>
    </w:p>
    <w:p w14:paraId="20E6DB4D" w14:textId="77777777" w:rsidR="00636CCD" w:rsidRDefault="00636CCD" w:rsidP="00636CCD">
      <w:pPr>
        <w:spacing w:before="280" w:after="140" w:line="300" w:lineRule="auto"/>
      </w:pPr>
      <w:r>
        <w:rPr>
          <w:b/>
          <w:bCs/>
          <w:sz w:val="24"/>
          <w:szCs w:val="24"/>
        </w:rPr>
        <w:lastRenderedPageBreak/>
        <w:t xml:space="preserve">5.  URGENCY </w:t>
      </w:r>
    </w:p>
    <w:p w14:paraId="5377EBC4" w14:textId="3CED65E5" w:rsidR="00636CCD" w:rsidRDefault="00636CCD" w:rsidP="00636CCD">
      <w:pPr>
        <w:spacing w:after="160" w:line="300" w:lineRule="auto"/>
      </w:pPr>
      <w:r>
        <w:t xml:space="preserve">This paragraph is issued to remind practitioners of the requirements governing the urgent roll, consistently with the </w:t>
      </w:r>
      <w:hyperlink r:id="rId8" w:history="1">
        <w:r w:rsidRPr="003112F7">
          <w:rPr>
            <w:rStyle w:val="Hyperlink"/>
          </w:rPr>
          <w:t>Notice on behalf of the Deputy Judge President of this Division to the profession</w:t>
        </w:r>
      </w:hyperlink>
      <w:r>
        <w:t xml:space="preserve"> and with the authorities on Uniform Rule 6(12). </w:t>
      </w:r>
    </w:p>
    <w:p w14:paraId="3A9CB364" w14:textId="77777777" w:rsidR="00636CCD" w:rsidRDefault="00636CCD" w:rsidP="00636CCD">
      <w:pPr>
        <w:spacing w:before="200" w:after="100" w:line="300" w:lineRule="auto"/>
      </w:pPr>
      <w:r>
        <w:rPr>
          <w:b/>
          <w:bCs/>
          <w:i/>
          <w:iCs/>
        </w:rPr>
        <w:t>5.1  Is the matter genuinely urgent?</w:t>
      </w:r>
    </w:p>
    <w:p w14:paraId="289AE077" w14:textId="77777777" w:rsidR="00636CCD" w:rsidRDefault="00636CCD" w:rsidP="00636CCD">
      <w:pPr>
        <w:spacing w:after="160" w:line="300" w:lineRule="auto"/>
      </w:pPr>
      <w:r>
        <w:t>The discretion conferred by Uniform Rule 6(12)(a) to dispense with the forms and service prescribed by the Rules exists to ensure that a litigant who cannot obtain substantial redress at a hearing in due course is not left without recourse. It is not a convenience to be invoked because a party, or an anxious client, would prefer an earlier hearing (</w:t>
      </w:r>
      <w:r>
        <w:rPr>
          <w:i/>
          <w:iCs/>
        </w:rPr>
        <w:t xml:space="preserve">Luna </w:t>
      </w:r>
      <w:proofErr w:type="spellStart"/>
      <w:r>
        <w:rPr>
          <w:i/>
          <w:iCs/>
        </w:rPr>
        <w:t>Meubel</w:t>
      </w:r>
      <w:proofErr w:type="spellEnd"/>
      <w:r>
        <w:rPr>
          <w:i/>
          <w:iCs/>
        </w:rPr>
        <w:t xml:space="preserve"> </w:t>
      </w:r>
      <w:proofErr w:type="spellStart"/>
      <w:r>
        <w:rPr>
          <w:i/>
          <w:iCs/>
        </w:rPr>
        <w:t>Vervaardigers</w:t>
      </w:r>
      <w:proofErr w:type="spellEnd"/>
      <w:r>
        <w:rPr>
          <w:i/>
          <w:iCs/>
        </w:rPr>
        <w:t xml:space="preserve"> (</w:t>
      </w:r>
      <w:proofErr w:type="spellStart"/>
      <w:r>
        <w:rPr>
          <w:i/>
          <w:iCs/>
        </w:rPr>
        <w:t>Edms</w:t>
      </w:r>
      <w:proofErr w:type="spellEnd"/>
      <w:r>
        <w:rPr>
          <w:i/>
          <w:iCs/>
        </w:rPr>
        <w:t xml:space="preserve">) </w:t>
      </w:r>
      <w:proofErr w:type="spellStart"/>
      <w:r>
        <w:rPr>
          <w:i/>
          <w:iCs/>
        </w:rPr>
        <w:t>Bpk</w:t>
      </w:r>
      <w:proofErr w:type="spellEnd"/>
      <w:r>
        <w:rPr>
          <w:i/>
          <w:iCs/>
        </w:rPr>
        <w:t xml:space="preserve"> v Makin and Another (t/a Makin’s Furniture Manufacturers)</w:t>
      </w:r>
      <w:r>
        <w:t xml:space="preserve"> 1977 (4) SA 135 (W) at 137B–F). The test is whether the applicant can be afforded substantial redress in an application in the ordinary course; if he or she can, the matter does not belong on the urgent roll (</w:t>
      </w:r>
      <w:r>
        <w:rPr>
          <w:i/>
          <w:iCs/>
        </w:rPr>
        <w:t>East Rock Trading 7 (Pty) Ltd and Another v Eagle Valley Granite (Pty) Ltd</w:t>
      </w:r>
      <w:r>
        <w:t xml:space="preserve"> [2011] ZAGPJHC 196 paras [6]–[9]). This discipline is for practitioners to apply before enrolment; it is not the function of the urgent court to perform it for them.</w:t>
      </w:r>
    </w:p>
    <w:p w14:paraId="58A2069A" w14:textId="77777777" w:rsidR="00636CCD" w:rsidRDefault="00636CCD" w:rsidP="00636CCD">
      <w:pPr>
        <w:spacing w:after="160" w:line="300" w:lineRule="auto"/>
      </w:pPr>
      <w:r>
        <w:t xml:space="preserve">No category of claim enjoys inherent urgency. As Wilson J held in </w:t>
      </w:r>
      <w:r>
        <w:rPr>
          <w:i/>
          <w:iCs/>
        </w:rPr>
        <w:t xml:space="preserve">Volvo Financial Services Southern Africa (Pty) Ltd v Adamas </w:t>
      </w:r>
      <w:proofErr w:type="spellStart"/>
      <w:r>
        <w:rPr>
          <w:i/>
          <w:iCs/>
        </w:rPr>
        <w:t>Tkolose</w:t>
      </w:r>
      <w:proofErr w:type="spellEnd"/>
      <w:r>
        <w:rPr>
          <w:i/>
          <w:iCs/>
        </w:rPr>
        <w:t xml:space="preserve"> Trading CC</w:t>
      </w:r>
      <w:r>
        <w:t xml:space="preserve"> [2023] ZAGPJHC 846, save where a statute prescribes otherwise, urgency is determined by the circumstances in which an applicant seeks adjudication, not by the nature of the right asserted. The point applicable across this roll is that a matter is urgent because of the imminence and depth of harm the applicant will suffer absent relief, not because of the category of right asserted.</w:t>
      </w:r>
    </w:p>
    <w:p w14:paraId="5AE425D3" w14:textId="77777777" w:rsidR="00636CCD" w:rsidRDefault="00636CCD" w:rsidP="00636CCD">
      <w:pPr>
        <w:spacing w:before="200" w:after="100" w:line="300" w:lineRule="auto"/>
      </w:pPr>
      <w:r>
        <w:rPr>
          <w:b/>
          <w:bCs/>
          <w:i/>
          <w:iCs/>
        </w:rPr>
        <w:t>5.2  State the case for urgency explicitly</w:t>
      </w:r>
    </w:p>
    <w:p w14:paraId="7D8BEE5C" w14:textId="77777777" w:rsidR="00636CCD" w:rsidRDefault="00636CCD" w:rsidP="00636CCD">
      <w:pPr>
        <w:spacing w:after="160" w:line="300" w:lineRule="auto"/>
      </w:pPr>
      <w:r>
        <w:t xml:space="preserve">An applicant must, in a distinct portion of the founding affidavit, set forth explicitly the circumstances relied upon as rendering the matter urgent, and the reasons why substantial redress cannot be obtained in the ordinary course (Uniform Rule 6(12)(b); </w:t>
      </w:r>
      <w:r>
        <w:rPr>
          <w:i/>
          <w:iCs/>
        </w:rPr>
        <w:t xml:space="preserve">Luna </w:t>
      </w:r>
      <w:proofErr w:type="spellStart"/>
      <w:r>
        <w:rPr>
          <w:i/>
          <w:iCs/>
        </w:rPr>
        <w:t>Meubel</w:t>
      </w:r>
      <w:proofErr w:type="spellEnd"/>
      <w:r>
        <w:t xml:space="preserve"> supra at 137). Where there has been delay in approaching the court, that delay must be explained. Delay is not fatal in itself. It may, for example, reflect genuine attempts to settle, or the practical difficulties of obtaining instructions and evidence from a distance, but an unexplained delay will count heavily against the applicant (</w:t>
      </w:r>
      <w:r>
        <w:rPr>
          <w:i/>
          <w:iCs/>
        </w:rPr>
        <w:t>East Rock Trading</w:t>
      </w:r>
      <w:r>
        <w:t xml:space="preserve"> supra paras [8]–[9]; </w:t>
      </w:r>
      <w:r>
        <w:rPr>
          <w:i/>
          <w:iCs/>
        </w:rPr>
        <w:t>Twentieth Century Fox</w:t>
      </w:r>
      <w:r>
        <w:t xml:space="preserve"> supra at 586G–587B).</w:t>
      </w:r>
    </w:p>
    <w:p w14:paraId="7C443009" w14:textId="77777777" w:rsidR="00636CCD" w:rsidRDefault="00636CCD" w:rsidP="00636CCD">
      <w:pPr>
        <w:spacing w:before="200" w:after="100" w:line="300" w:lineRule="auto"/>
      </w:pPr>
      <w:r>
        <w:rPr>
          <w:b/>
          <w:bCs/>
          <w:i/>
          <w:iCs/>
        </w:rPr>
        <w:t>5.3  Enrolment</w:t>
      </w:r>
    </w:p>
    <w:p w14:paraId="5EF3C9C5" w14:textId="77777777" w:rsidR="00636CCD" w:rsidRDefault="00636CCD" w:rsidP="00636CCD">
      <w:pPr>
        <w:spacing w:after="160" w:line="300" w:lineRule="auto"/>
      </w:pPr>
      <w:r>
        <w:t xml:space="preserve">Enrolment on any other day than the Thursday-for-Tuesday, or filing after that deadline, requires the prior leave of a judge, sought and obtained on the basis of exceptional circumstances; it is not a matter of counsel’s or the client’s convenience. The degree of relaxation of the ordinary Rules and practice permitted must not exceed what the true exigency of the case demands, assessed on the graduated scale set out in </w:t>
      </w:r>
      <w:r>
        <w:rPr>
          <w:i/>
          <w:iCs/>
        </w:rPr>
        <w:t xml:space="preserve">Luna </w:t>
      </w:r>
      <w:proofErr w:type="spellStart"/>
      <w:r>
        <w:rPr>
          <w:i/>
          <w:iCs/>
        </w:rPr>
        <w:t>Meubel</w:t>
      </w:r>
      <w:proofErr w:type="spellEnd"/>
      <w:r>
        <w:t xml:space="preserve"> supra at 158–159. </w:t>
      </w:r>
    </w:p>
    <w:p w14:paraId="49907830" w14:textId="77777777" w:rsidR="00636CCD" w:rsidRDefault="00636CCD" w:rsidP="00636CCD">
      <w:pPr>
        <w:spacing w:before="200" w:after="100" w:line="300" w:lineRule="auto"/>
      </w:pPr>
      <w:r>
        <w:rPr>
          <w:b/>
          <w:bCs/>
          <w:i/>
          <w:iCs/>
        </w:rPr>
        <w:t>5.4  Time frames imposed on the respondent</w:t>
      </w:r>
    </w:p>
    <w:p w14:paraId="465F9950" w14:textId="77777777" w:rsidR="00636CCD" w:rsidRDefault="00636CCD" w:rsidP="00636CCD">
      <w:pPr>
        <w:spacing w:after="160" w:line="300" w:lineRule="auto"/>
      </w:pPr>
      <w:r>
        <w:t>Applicants must allow the respondent a reasonable and realistic period within which to file answering papers, having regard to the nature and complexity of the relief sought. Where an abridged timetable is proposed, the founding affidavit must justify the particular truncation adopted; mere assertion of urgency does not justify any and every abridgement (</w:t>
      </w:r>
      <w:r>
        <w:rPr>
          <w:i/>
          <w:iCs/>
        </w:rPr>
        <w:t xml:space="preserve">Luna </w:t>
      </w:r>
      <w:proofErr w:type="spellStart"/>
      <w:r>
        <w:rPr>
          <w:i/>
          <w:iCs/>
        </w:rPr>
        <w:t>Meubel</w:t>
      </w:r>
      <w:proofErr w:type="spellEnd"/>
      <w:r>
        <w:t xml:space="preserve"> supra at 158). </w:t>
      </w:r>
      <w:r>
        <w:lastRenderedPageBreak/>
        <w:t>Where answering papers reach the court only shortly before the hearing, the presiding judge is deprived of a proper opportunity to prepare, which materially prejudices the fair and efficient disposal of the roll for all litigants that week, not only the parties before the court.</w:t>
      </w:r>
    </w:p>
    <w:p w14:paraId="5C895DAA" w14:textId="77777777" w:rsidR="00636CCD" w:rsidRDefault="00636CCD" w:rsidP="00636CCD">
      <w:pPr>
        <w:spacing w:before="200" w:after="100" w:line="300" w:lineRule="auto"/>
      </w:pPr>
      <w:r>
        <w:rPr>
          <w:b/>
          <w:bCs/>
          <w:i/>
          <w:iCs/>
        </w:rPr>
        <w:t>5.6  The urgent roll as a queue to be jumped</w:t>
      </w:r>
    </w:p>
    <w:p w14:paraId="1CDB272A" w14:textId="77777777" w:rsidR="00636CCD" w:rsidRDefault="00636CCD" w:rsidP="00636CCD">
      <w:pPr>
        <w:spacing w:after="160" w:line="300" w:lineRule="auto"/>
      </w:pPr>
      <w:r>
        <w:t xml:space="preserve">Practitioners who enrol matters that are not genuinely urgent, who fail to justify the abridgement of time limits actually adopted, or who file papers that do not comply with this directive, expose their clients (and, in appropriate cases, themselves) to adverse costs orders, including costs </w:t>
      </w:r>
      <w:r>
        <w:rPr>
          <w:i/>
          <w:iCs/>
        </w:rPr>
        <w:t xml:space="preserve">de </w:t>
      </w:r>
      <w:proofErr w:type="spellStart"/>
      <w:r>
        <w:rPr>
          <w:i/>
          <w:iCs/>
        </w:rPr>
        <w:t>bonis</w:t>
      </w:r>
      <w:proofErr w:type="spellEnd"/>
      <w:r>
        <w:rPr>
          <w:i/>
          <w:iCs/>
        </w:rPr>
        <w:t xml:space="preserve"> </w:t>
      </w:r>
      <w:proofErr w:type="spellStart"/>
      <w:r>
        <w:rPr>
          <w:i/>
          <w:iCs/>
        </w:rPr>
        <w:t>propriis</w:t>
      </w:r>
      <w:proofErr w:type="spellEnd"/>
      <w:r>
        <w:t xml:space="preserve"> and orders precluding recovery of fees from the client. A matter that is not properly enrolled is liable to be struck from the roll for want of proper enrolment, leaving the applicant to enrol it afresh in the ordinary course (</w:t>
      </w:r>
      <w:r>
        <w:rPr>
          <w:i/>
          <w:iCs/>
        </w:rPr>
        <w:t xml:space="preserve">Luna </w:t>
      </w:r>
      <w:proofErr w:type="spellStart"/>
      <w:r>
        <w:rPr>
          <w:i/>
          <w:iCs/>
        </w:rPr>
        <w:t>Meubel</w:t>
      </w:r>
      <w:proofErr w:type="spellEnd"/>
      <w:r>
        <w:t xml:space="preserve"> supra at 160–161).</w:t>
      </w:r>
    </w:p>
    <w:p w14:paraId="12CD0179" w14:textId="77777777" w:rsidR="00B02F7E" w:rsidRDefault="00B02F7E">
      <w:pPr>
        <w:spacing w:after="160" w:line="300" w:lineRule="auto"/>
      </w:pPr>
    </w:p>
    <w:sectPr w:rsidR="00B02F7E">
      <w:footerReference w:type="default" r:id="rId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2E13E" w14:textId="77777777" w:rsidR="00DD7945" w:rsidRDefault="00DD7945">
      <w:r>
        <w:separator/>
      </w:r>
    </w:p>
  </w:endnote>
  <w:endnote w:type="continuationSeparator" w:id="0">
    <w:p w14:paraId="43529C76" w14:textId="77777777" w:rsidR="00DD7945" w:rsidRDefault="00DD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9231" w14:textId="2DB4DAE5" w:rsidR="00B02F7E" w:rsidRDefault="00E05471">
    <w:pPr>
      <w:jc w:val="center"/>
    </w:pPr>
    <w:r>
      <w:rPr>
        <w:color w:val="666666"/>
        <w:sz w:val="16"/>
        <w:szCs w:val="16"/>
      </w:rPr>
      <w:t xml:space="preserve">Directive: Urgent Court before Du Plessis J </w:t>
    </w:r>
    <w:r w:rsidR="00AE0221">
      <w:rPr>
        <w:color w:val="666666"/>
        <w:sz w:val="16"/>
        <w:szCs w:val="16"/>
      </w:rPr>
      <w:t xml:space="preserve">| </w:t>
    </w:r>
    <w:r>
      <w:rPr>
        <w:color w:val="666666"/>
        <w:sz w:val="16"/>
        <w:szCs w:val="16"/>
      </w:rPr>
      <w:t xml:space="preserve">24 to 31 July </w:t>
    </w:r>
    <w:proofErr w:type="gramStart"/>
    <w:r>
      <w:rPr>
        <w:color w:val="666666"/>
        <w:sz w:val="16"/>
        <w:szCs w:val="16"/>
      </w:rPr>
      <w:t>2026  |</w:t>
    </w:r>
    <w:proofErr w:type="gramEnd"/>
    <w:r>
      <w:rPr>
        <w:color w:val="666666"/>
        <w:sz w:val="16"/>
        <w:szCs w:val="16"/>
      </w:rPr>
      <w:t xml:space="preserve">  Page </w:t>
    </w:r>
    <w:r>
      <w:rPr>
        <w:color w:val="666666"/>
        <w:sz w:val="16"/>
        <w:szCs w:val="16"/>
      </w:rPr>
      <w:fldChar w:fldCharType="begin"/>
    </w:r>
    <w:r>
      <w:rPr>
        <w:color w:val="666666"/>
        <w:sz w:val="16"/>
        <w:szCs w:val="16"/>
      </w:rPr>
      <w:instrText>PAGE</w:instrText>
    </w:r>
    <w:r>
      <w:rPr>
        <w:color w:val="666666"/>
        <w:sz w:val="16"/>
        <w:szCs w:val="16"/>
      </w:rPr>
      <w:fldChar w:fldCharType="separate"/>
    </w:r>
    <w:r w:rsidR="00814329">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sidR="00814329">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139A8" w14:textId="77777777" w:rsidR="00DD7945" w:rsidRDefault="00DD7945">
      <w:r>
        <w:separator/>
      </w:r>
    </w:p>
  </w:footnote>
  <w:footnote w:type="continuationSeparator" w:id="0">
    <w:p w14:paraId="3F56FBDE" w14:textId="77777777" w:rsidR="00DD7945" w:rsidRDefault="00DD7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4B5D"/>
    <w:multiLevelType w:val="hybridMultilevel"/>
    <w:tmpl w:val="DAC43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65021"/>
    <w:multiLevelType w:val="hybridMultilevel"/>
    <w:tmpl w:val="A4247C24"/>
    <w:lvl w:ilvl="0" w:tplc="EBC46A72">
      <w:start w:val="1"/>
      <w:numFmt w:val="bullet"/>
      <w:lvlText w:val="•"/>
      <w:lvlJc w:val="left"/>
      <w:pPr>
        <w:ind w:left="720" w:hanging="360"/>
      </w:pPr>
    </w:lvl>
    <w:lvl w:ilvl="1" w:tplc="3292817A">
      <w:numFmt w:val="decimal"/>
      <w:lvlText w:val=""/>
      <w:lvlJc w:val="left"/>
    </w:lvl>
    <w:lvl w:ilvl="2" w:tplc="A1B2D964">
      <w:numFmt w:val="decimal"/>
      <w:lvlText w:val=""/>
      <w:lvlJc w:val="left"/>
    </w:lvl>
    <w:lvl w:ilvl="3" w:tplc="916EB28E">
      <w:numFmt w:val="decimal"/>
      <w:lvlText w:val=""/>
      <w:lvlJc w:val="left"/>
    </w:lvl>
    <w:lvl w:ilvl="4" w:tplc="6180F602">
      <w:numFmt w:val="decimal"/>
      <w:lvlText w:val=""/>
      <w:lvlJc w:val="left"/>
    </w:lvl>
    <w:lvl w:ilvl="5" w:tplc="51E2B44E">
      <w:numFmt w:val="decimal"/>
      <w:lvlText w:val=""/>
      <w:lvlJc w:val="left"/>
    </w:lvl>
    <w:lvl w:ilvl="6" w:tplc="BA70F8F6">
      <w:numFmt w:val="decimal"/>
      <w:lvlText w:val=""/>
      <w:lvlJc w:val="left"/>
    </w:lvl>
    <w:lvl w:ilvl="7" w:tplc="7A24470C">
      <w:numFmt w:val="decimal"/>
      <w:lvlText w:val=""/>
      <w:lvlJc w:val="left"/>
    </w:lvl>
    <w:lvl w:ilvl="8" w:tplc="2902AF1E">
      <w:numFmt w:val="decimal"/>
      <w:lvlText w:val=""/>
      <w:lvlJc w:val="left"/>
    </w:lvl>
  </w:abstractNum>
  <w:abstractNum w:abstractNumId="2" w15:restartNumberingAfterBreak="0">
    <w:nsid w:val="3BB83D44"/>
    <w:multiLevelType w:val="hybridMultilevel"/>
    <w:tmpl w:val="3E8A90BA"/>
    <w:lvl w:ilvl="0" w:tplc="C6A08418">
      <w:start w:val="1"/>
      <w:numFmt w:val="bullet"/>
      <w:lvlText w:val="●"/>
      <w:lvlJc w:val="left"/>
      <w:pPr>
        <w:ind w:left="720" w:hanging="360"/>
      </w:pPr>
    </w:lvl>
    <w:lvl w:ilvl="1" w:tplc="FA008DDC">
      <w:start w:val="1"/>
      <w:numFmt w:val="bullet"/>
      <w:lvlText w:val="○"/>
      <w:lvlJc w:val="left"/>
      <w:pPr>
        <w:ind w:left="1440" w:hanging="360"/>
      </w:pPr>
    </w:lvl>
    <w:lvl w:ilvl="2" w:tplc="98CEA17C">
      <w:start w:val="1"/>
      <w:numFmt w:val="bullet"/>
      <w:lvlText w:val="■"/>
      <w:lvlJc w:val="left"/>
      <w:pPr>
        <w:ind w:left="2160" w:hanging="360"/>
      </w:pPr>
    </w:lvl>
    <w:lvl w:ilvl="3" w:tplc="A1CEDE9E">
      <w:start w:val="1"/>
      <w:numFmt w:val="bullet"/>
      <w:lvlText w:val="●"/>
      <w:lvlJc w:val="left"/>
      <w:pPr>
        <w:ind w:left="2880" w:hanging="360"/>
      </w:pPr>
    </w:lvl>
    <w:lvl w:ilvl="4" w:tplc="057220C8">
      <w:start w:val="1"/>
      <w:numFmt w:val="bullet"/>
      <w:lvlText w:val="○"/>
      <w:lvlJc w:val="left"/>
      <w:pPr>
        <w:ind w:left="3600" w:hanging="360"/>
      </w:pPr>
    </w:lvl>
    <w:lvl w:ilvl="5" w:tplc="FCE46DEE">
      <w:start w:val="1"/>
      <w:numFmt w:val="bullet"/>
      <w:lvlText w:val="■"/>
      <w:lvlJc w:val="left"/>
      <w:pPr>
        <w:ind w:left="4320" w:hanging="360"/>
      </w:pPr>
    </w:lvl>
    <w:lvl w:ilvl="6" w:tplc="C0669FCA">
      <w:start w:val="1"/>
      <w:numFmt w:val="bullet"/>
      <w:lvlText w:val="●"/>
      <w:lvlJc w:val="left"/>
      <w:pPr>
        <w:ind w:left="5040" w:hanging="360"/>
      </w:pPr>
    </w:lvl>
    <w:lvl w:ilvl="7" w:tplc="7EE22352">
      <w:start w:val="1"/>
      <w:numFmt w:val="bullet"/>
      <w:lvlText w:val="●"/>
      <w:lvlJc w:val="left"/>
      <w:pPr>
        <w:ind w:left="5760" w:hanging="360"/>
      </w:pPr>
    </w:lvl>
    <w:lvl w:ilvl="8" w:tplc="50DEC922">
      <w:start w:val="1"/>
      <w:numFmt w:val="bullet"/>
      <w:lvlText w:val="●"/>
      <w:lvlJc w:val="left"/>
      <w:pPr>
        <w:ind w:left="6480" w:hanging="360"/>
      </w:pPr>
    </w:lvl>
  </w:abstractNum>
  <w:abstractNum w:abstractNumId="3" w15:restartNumberingAfterBreak="0">
    <w:nsid w:val="4E914CB7"/>
    <w:multiLevelType w:val="hybridMultilevel"/>
    <w:tmpl w:val="A36A9CB2"/>
    <w:lvl w:ilvl="0" w:tplc="EBC46A72">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0325083">
    <w:abstractNumId w:val="2"/>
    <w:lvlOverride w:ilvl="0">
      <w:startOverride w:val="1"/>
    </w:lvlOverride>
  </w:num>
  <w:num w:numId="2" w16cid:durableId="1939946621">
    <w:abstractNumId w:val="1"/>
    <w:lvlOverride w:ilvl="0">
      <w:startOverride w:val="1"/>
    </w:lvlOverride>
  </w:num>
  <w:num w:numId="3" w16cid:durableId="611085205">
    <w:abstractNumId w:val="0"/>
  </w:num>
  <w:num w:numId="4" w16cid:durableId="484933021">
    <w:abstractNumId w:val="1"/>
  </w:num>
  <w:num w:numId="5" w16cid:durableId="73094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F7E"/>
    <w:rsid w:val="00074218"/>
    <w:rsid w:val="00083ADC"/>
    <w:rsid w:val="000A184B"/>
    <w:rsid w:val="001B3024"/>
    <w:rsid w:val="00201758"/>
    <w:rsid w:val="0021546D"/>
    <w:rsid w:val="0027320D"/>
    <w:rsid w:val="00274125"/>
    <w:rsid w:val="002A6338"/>
    <w:rsid w:val="003112F7"/>
    <w:rsid w:val="00326F0C"/>
    <w:rsid w:val="0033555A"/>
    <w:rsid w:val="00336D72"/>
    <w:rsid w:val="003B5CA5"/>
    <w:rsid w:val="00425A05"/>
    <w:rsid w:val="00447C04"/>
    <w:rsid w:val="00524F92"/>
    <w:rsid w:val="00526466"/>
    <w:rsid w:val="00527D75"/>
    <w:rsid w:val="00534076"/>
    <w:rsid w:val="00573435"/>
    <w:rsid w:val="005B74BD"/>
    <w:rsid w:val="005E2D00"/>
    <w:rsid w:val="00636CCD"/>
    <w:rsid w:val="00686146"/>
    <w:rsid w:val="00696C35"/>
    <w:rsid w:val="006C0CB6"/>
    <w:rsid w:val="0070484F"/>
    <w:rsid w:val="00705FD5"/>
    <w:rsid w:val="007101F7"/>
    <w:rsid w:val="007A345E"/>
    <w:rsid w:val="007E5FFE"/>
    <w:rsid w:val="007F357C"/>
    <w:rsid w:val="00803AB1"/>
    <w:rsid w:val="00814329"/>
    <w:rsid w:val="00837C79"/>
    <w:rsid w:val="00905451"/>
    <w:rsid w:val="0091225A"/>
    <w:rsid w:val="00956DB3"/>
    <w:rsid w:val="009F1644"/>
    <w:rsid w:val="00A039BA"/>
    <w:rsid w:val="00A27E0F"/>
    <w:rsid w:val="00A35980"/>
    <w:rsid w:val="00AE0221"/>
    <w:rsid w:val="00B00DFF"/>
    <w:rsid w:val="00B02F7E"/>
    <w:rsid w:val="00B312A1"/>
    <w:rsid w:val="00B901E5"/>
    <w:rsid w:val="00C2590C"/>
    <w:rsid w:val="00C26C19"/>
    <w:rsid w:val="00C549D5"/>
    <w:rsid w:val="00C83CFE"/>
    <w:rsid w:val="00CE4E9F"/>
    <w:rsid w:val="00D60F87"/>
    <w:rsid w:val="00D65288"/>
    <w:rsid w:val="00D94A27"/>
    <w:rsid w:val="00DC712C"/>
    <w:rsid w:val="00DD7945"/>
    <w:rsid w:val="00DF2C7D"/>
    <w:rsid w:val="00E05471"/>
    <w:rsid w:val="00E47DFD"/>
    <w:rsid w:val="00EE34D1"/>
    <w:rsid w:val="00EE6E0A"/>
    <w:rsid w:val="00FE30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591D8"/>
  <w15:docId w15:val="{78155238-E81F-8B41-953C-442A8F47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E0221"/>
    <w:pPr>
      <w:tabs>
        <w:tab w:val="center" w:pos="4513"/>
        <w:tab w:val="right" w:pos="9026"/>
      </w:tabs>
    </w:pPr>
  </w:style>
  <w:style w:type="character" w:customStyle="1" w:styleId="HeaderChar">
    <w:name w:val="Header Char"/>
    <w:basedOn w:val="DefaultParagraphFont"/>
    <w:link w:val="Header"/>
    <w:uiPriority w:val="99"/>
    <w:rsid w:val="00AE0221"/>
  </w:style>
  <w:style w:type="paragraph" w:styleId="Footer">
    <w:name w:val="footer"/>
    <w:basedOn w:val="Normal"/>
    <w:link w:val="FooterChar"/>
    <w:uiPriority w:val="99"/>
    <w:unhideWhenUsed/>
    <w:rsid w:val="00AE0221"/>
    <w:pPr>
      <w:tabs>
        <w:tab w:val="center" w:pos="4513"/>
        <w:tab w:val="right" w:pos="9026"/>
      </w:tabs>
    </w:pPr>
  </w:style>
  <w:style w:type="character" w:customStyle="1" w:styleId="FooterChar">
    <w:name w:val="Footer Char"/>
    <w:basedOn w:val="DefaultParagraphFont"/>
    <w:link w:val="Footer"/>
    <w:uiPriority w:val="99"/>
    <w:rsid w:val="00AE0221"/>
  </w:style>
  <w:style w:type="character" w:styleId="UnresolvedMention">
    <w:name w:val="Unresolved Mention"/>
    <w:basedOn w:val="DefaultParagraphFont"/>
    <w:uiPriority w:val="99"/>
    <w:semiHidden/>
    <w:unhideWhenUsed/>
    <w:rsid w:val="00311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ssa.org.za/wp-content/uploads/2021/10/DJP-Letter-on-Urgent-Court-Notice-to-Profession.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1601</Words>
  <Characters>9131</Characters>
  <Application>Microsoft Office Word</Application>
  <DocSecurity>0</DocSecurity>
  <Lines>76</Lines>
  <Paragraphs>21</Paragraphs>
  <ScaleCrop>false</ScaleCrop>
  <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Mornay Moolman</cp:lastModifiedBy>
  <cp:revision>2</cp:revision>
  <cp:lastPrinted>2026-07-24T10:13:00Z</cp:lastPrinted>
  <dcterms:created xsi:type="dcterms:W3CDTF">2026-07-24T13:31:00Z</dcterms:created>
  <dcterms:modified xsi:type="dcterms:W3CDTF">2026-07-24T13:31:00Z</dcterms:modified>
</cp:coreProperties>
</file>